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A95" w:rsidRDefault="00E64A95" w:rsidP="00E64A95">
      <w:pPr>
        <w:jc w:val="center"/>
      </w:pPr>
      <w:r w:rsidRPr="00E64A95">
        <w:rPr>
          <w:rFonts w:ascii="Times New Roman" w:hAnsi="Times New Roman" w:cs="Times New Roman"/>
          <w:b/>
          <w:sz w:val="28"/>
          <w:szCs w:val="28"/>
        </w:rPr>
        <w:t>Прокуратура города разъясняет порядок определения предельного объема затрат на реализацию проектов, направленных на ликвидацию несанкциони</w:t>
      </w:r>
      <w:bookmarkStart w:id="0" w:name="_GoBack"/>
      <w:bookmarkEnd w:id="0"/>
      <w:r w:rsidRPr="00E64A95">
        <w:rPr>
          <w:rFonts w:ascii="Times New Roman" w:hAnsi="Times New Roman" w:cs="Times New Roman"/>
          <w:b/>
          <w:sz w:val="28"/>
          <w:szCs w:val="28"/>
        </w:rPr>
        <w:t>рованных свалок</w:t>
      </w:r>
    </w:p>
    <w:p w:rsidR="00105645" w:rsidRPr="00E64A95" w:rsidRDefault="00E64A95">
      <w:pPr>
        <w:rPr>
          <w:rFonts w:ascii="Times New Roman" w:hAnsi="Times New Roman" w:cs="Times New Roman"/>
          <w:sz w:val="28"/>
          <w:szCs w:val="28"/>
        </w:rPr>
      </w:pPr>
      <w:r w:rsidRPr="00E64A95">
        <w:rPr>
          <w:rFonts w:ascii="Times New Roman" w:hAnsi="Times New Roman" w:cs="Times New Roman"/>
          <w:sz w:val="28"/>
          <w:szCs w:val="28"/>
        </w:rPr>
        <w:t>В соответствии с приказом Минприроды России от 05.09.2025 № 472 утвержден порядок определения предельного объема затрат на реализацию проектов, направленных на ликвидацию несанкционированных свалок, являющихся объектами накопленного вреда окружающей среде, рассчитанного исходя из площади территории, на которой выявлен накопленный вред окружающей среде, объема (массы) отходов, размещенных на указанной территории, и удельных показателей стоимости работ по ликвидации накопленного вреда окружающей среде. В указанном порядке Приведены формулы расчета объема затрат для случаев ликвидации несанкционированной свалки без транспортирования и с транспортированием отходов на объекты размещения (обработки, утилизации, обезвреживания) отходов. В приложениях приведены: удельные показатели стоимости работ по ликвидации накопленного вреда окружающей среде, рассчитанные на основании анализа стоимостных характеристик проектов, направленных на ликвидацию несанкционированных свалок в границах городов и основным техническим решением которых является ликвидация несанкционированных свалок без транспортирования отходов на объекты размещения отходов; удельные показатели стоимости работ по ликвидации накопленного вреда окружающей среде (без учета транспортных расходов и расходов на захоронение (обработку, утилизацию, обезвреживание) отходов), рассчитанные на основании анализа стоимостных характеристик проектов, направленных на ликвидацию несанкционированных свалок в границах городов и основным техническим решением которых является ликвидация несанкционированных свалок посредством транспортирования отходов. Указанный порядок действует с 11.11.2025.</w:t>
      </w:r>
    </w:p>
    <w:sectPr w:rsidR="00105645" w:rsidRPr="00E64A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60E"/>
    <w:rsid w:val="00105645"/>
    <w:rsid w:val="00E64A95"/>
    <w:rsid w:val="00FC36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6FD788-7C36-4201-B76D-CA32FB67E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269</Words>
  <Characters>1534</Characters>
  <Application>Microsoft Office Word</Application>
  <DocSecurity>0</DocSecurity>
  <Lines>12</Lines>
  <Paragraphs>3</Paragraphs>
  <ScaleCrop>false</ScaleCrop>
  <Company/>
  <LinksUpToDate>false</LinksUpToDate>
  <CharactersWithSpaces>1800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2025-12-24T00:28:00Z</dcterms:created>
  <dcterms:modified xsi:type="dcterms:W3CDTF">2025-12-24T00:28:00Z</dcterms:modified>
</cp:coreProperties>
</file>