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EE0" w:rsidRDefault="006B6EE0" w:rsidP="006B6EE0">
      <w:pPr>
        <w:jc w:val="center"/>
        <w:rPr>
          <w:rFonts w:ascii="Times New Roman" w:hAnsi="Times New Roman" w:cs="Times New Roman"/>
          <w:sz w:val="28"/>
          <w:szCs w:val="28"/>
        </w:rPr>
      </w:pPr>
      <w:r w:rsidRPr="006B6EE0">
        <w:rPr>
          <w:rFonts w:ascii="Times New Roman" w:hAnsi="Times New Roman" w:cs="Times New Roman"/>
          <w:sz w:val="28"/>
          <w:szCs w:val="28"/>
        </w:rPr>
        <w:t xml:space="preserve">4) </w:t>
      </w:r>
      <w:r w:rsidRPr="006B6EE0">
        <w:rPr>
          <w:rFonts w:ascii="Times New Roman" w:hAnsi="Times New Roman" w:cs="Times New Roman"/>
          <w:b/>
          <w:sz w:val="28"/>
          <w:szCs w:val="28"/>
        </w:rPr>
        <w:t>Прокуратура 3 положения законодательства, разъясняет регулирующие авторский надзор в сфере градостроительной деятельности</w:t>
      </w:r>
    </w:p>
    <w:p w:rsidR="00CA111A" w:rsidRPr="006B6EE0" w:rsidRDefault="006B6EE0">
      <w:pPr>
        <w:rPr>
          <w:rFonts w:ascii="Times New Roman" w:hAnsi="Times New Roman" w:cs="Times New Roman"/>
          <w:sz w:val="28"/>
          <w:szCs w:val="28"/>
        </w:rPr>
      </w:pPr>
      <w:r w:rsidRPr="006B6EE0">
        <w:rPr>
          <w:rFonts w:ascii="Times New Roman" w:hAnsi="Times New Roman" w:cs="Times New Roman"/>
          <w:sz w:val="28"/>
          <w:szCs w:val="28"/>
        </w:rPr>
        <w:t>Авторский надзор, как форма добровольной оценки соответствия зданий и сооружений, а также связанных со</w:t>
      </w:r>
      <w:bookmarkStart w:id="0" w:name="_GoBack"/>
      <w:bookmarkEnd w:id="0"/>
      <w:r w:rsidRPr="006B6EE0">
        <w:rPr>
          <w:rFonts w:ascii="Times New Roman" w:hAnsi="Times New Roman" w:cs="Times New Roman"/>
          <w:sz w:val="28"/>
          <w:szCs w:val="28"/>
        </w:rPr>
        <w:t xml:space="preserve"> зданиями и с сооружениями процессов проектирования (включая изыскания), строительства, монтажа, наладки, эксплуатации и утилизации (сноса), является контролем лица, осуществившего подготовку проектной документации, соблюдения в процессе строительства требований проектной документации. Градостроительным кодексом определены должностные обязанности специалистов по организации инженерных изысканий, архитектурно строительного проектирования. Такие специалисты вправе осуществлять трудовые функции в соответствии с профессиональными стандартами со дня включения сведений о них в национальный реестр специалистов в области инженерных изысканий и архитектурно-строительного проектирования. Выполнение должностных обязанностей реестровых специалистов иными работниками члена саморегулируемой организации не допускается. Вместе с тем, как следует из официальных разъяснений Минстроя России от 30.09.2025, авторский надзор не отнесен к должностным обязанностям реестровых специалистов и соответственно для его проведения наличие сведений о физическом лице, осуществляющем авторский надзор, в национальном реестре не требуется.</w:t>
      </w:r>
    </w:p>
    <w:sectPr w:rsidR="00CA111A" w:rsidRPr="006B6E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C64"/>
    <w:rsid w:val="006B6EE0"/>
    <w:rsid w:val="008B3C64"/>
    <w:rsid w:val="00CA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72E11-BA97-4BC5-90BA-C213CD1A6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2025-12-24T00:16:00Z</dcterms:created>
  <dcterms:modified xsi:type="dcterms:W3CDTF">2025-12-24T00:16:00Z</dcterms:modified>
</cp:coreProperties>
</file>