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3000000">
      <w:pPr>
        <w:pStyle w:val="Style_2"/>
        <w:rPr>
          <w:rFonts w:ascii="Times New Roman" w:hAnsi="Times New Roman"/>
        </w:rPr>
      </w:pPr>
    </w:p>
    <w:p w14:paraId="04000000">
      <w:pPr>
        <w:ind w:firstLine="0" w:left="4819"/>
        <w:rPr>
          <w:rFonts w:ascii="Times New Roman" w:hAnsi="Times New Roman"/>
        </w:rPr>
      </w:pPr>
      <w:r>
        <w:rPr>
          <w:rFonts w:ascii="Times New Roman" w:hAnsi="Times New Roman"/>
        </w:rPr>
        <w:t>Главам муниципальных образований</w:t>
      </w:r>
    </w:p>
    <w:p w14:paraId="05000000">
      <w:pPr>
        <w:rPr>
          <w:rFonts w:ascii="Times New Roman" w:hAnsi="Times New Roman"/>
        </w:rPr>
      </w:pPr>
    </w:p>
    <w:p w14:paraId="06000000">
      <w:pPr>
        <w:rPr>
          <w:rFonts w:ascii="Times New Roman" w:hAnsi="Times New Roman"/>
        </w:rPr>
      </w:pPr>
    </w:p>
    <w:p w14:paraId="07000000">
      <w:pPr>
        <w:rPr>
          <w:rFonts w:ascii="Times New Roman" w:hAnsi="Times New Roman"/>
        </w:rPr>
      </w:pPr>
    </w:p>
    <w:p w14:paraId="08000000">
      <w:pPr>
        <w:rPr>
          <w:rFonts w:ascii="Times New Roman" w:hAnsi="Times New Roman"/>
        </w:rPr>
      </w:pPr>
    </w:p>
    <w:p w14:paraId="09000000">
      <w:pPr>
        <w:rPr>
          <w:rFonts w:ascii="Times New Roman" w:hAnsi="Times New Roman"/>
        </w:rPr>
      </w:pPr>
    </w:p>
    <w:p w14:paraId="0A000000">
      <w:pPr>
        <w:rPr>
          <w:rFonts w:ascii="Times New Roman" w:hAnsi="Times New Roman"/>
        </w:rPr>
      </w:pPr>
    </w:p>
    <w:p w14:paraId="0B000000">
      <w:pPr>
        <w:rPr>
          <w:rFonts w:ascii="Times New Roman" w:hAnsi="Times New Roman"/>
        </w:rPr>
      </w:pPr>
    </w:p>
    <w:p w14:paraId="0C000000">
      <w:pPr>
        <w:rPr>
          <w:rFonts w:ascii="Times New Roman" w:hAnsi="Times New Roman"/>
        </w:rPr>
      </w:pPr>
    </w:p>
    <w:p w14:paraId="0D000000">
      <w:pPr>
        <w:rPr>
          <w:rFonts w:ascii="Times New Roman" w:hAnsi="Times New Roman"/>
        </w:rPr>
      </w:pPr>
    </w:p>
    <w:p w14:paraId="0E000000">
      <w:pPr>
        <w:rPr>
          <w:rFonts w:ascii="Times New Roman" w:hAnsi="Times New Roman"/>
        </w:rPr>
      </w:pPr>
    </w:p>
    <w:p w14:paraId="0F000000">
      <w:pPr>
        <w:rPr>
          <w:rFonts w:ascii="Times New Roman" w:hAnsi="Times New Roman"/>
        </w:rPr>
      </w:pPr>
    </w:p>
    <w:p w14:paraId="10000000">
      <w:pPr>
        <w:rPr>
          <w:rFonts w:ascii="Times New Roman" w:hAnsi="Times New Roman"/>
        </w:rPr>
      </w:pPr>
    </w:p>
    <w:p w14:paraId="11000000">
      <w:pPr>
        <w:rPr>
          <w:rFonts w:ascii="Times New Roman" w:hAnsi="Times New Roman"/>
        </w:rPr>
      </w:pPr>
    </w:p>
    <w:p w14:paraId="12000000">
      <w:pPr>
        <w:spacing w:line="240" w:lineRule="exact"/>
        <w:ind/>
        <w:rPr>
          <w:rFonts w:ascii="Times New Roman" w:hAnsi="Times New Roman"/>
          <w:b w:val="1"/>
        </w:rPr>
      </w:pPr>
      <w:r>
        <w:rPr>
          <w:rFonts w:ascii="Times New Roman" w:hAnsi="Times New Roman"/>
          <w:b w:val="1"/>
        </w:rPr>
        <w:t>ИНФОРМАЦИЯ</w:t>
      </w:r>
    </w:p>
    <w:p w14:paraId="13000000">
      <w:pPr>
        <w:spacing w:line="240" w:lineRule="exact"/>
        <w:ind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для размещения на официальных сайтах </w:t>
      </w:r>
    </w:p>
    <w:p w14:paraId="14000000">
      <w:pPr>
        <w:rPr>
          <w:rFonts w:ascii="Times New Roman" w:hAnsi="Times New Roman"/>
        </w:rPr>
      </w:pPr>
    </w:p>
    <w:p w14:paraId="15000000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В рамках соглашений о взаимодействии, а также для обеспечения доступности информации о деятельности прокуратуры г. Бодайбо прошу опубликовать на официальных сайтах муниципальных образований в созданных вкладках следующую информацию.</w:t>
      </w:r>
    </w:p>
    <w:p w14:paraId="16000000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Заголовок: «Увеличен размер исполнительского сбора, налагаемого на должника судебным приставом в случае неисполнения предписания в добровольном порядке».</w:t>
      </w:r>
    </w:p>
    <w:p w14:paraId="17000000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Федеральным законом от 29.12.2025 № 563-ФЗ увеличен размер исполнительского сбора, налагаемого на должника судебным приставом-исполнителем в случае неисполнения  исполнительного документа в добровольном порядке.</w:t>
      </w:r>
    </w:p>
    <w:p w14:paraId="18000000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 часть 3 статьи </w:t>
      </w:r>
      <w:r>
        <w:rPr>
          <w:rFonts w:ascii="Times New Roman" w:hAnsi="Times New Roman"/>
        </w:rPr>
        <w:t xml:space="preserve"> 112 Федерального закона от 02.10.2007 № 229-ФЗ «Об исполнительном производстве» внесены изменения, в соответствии с которыми исполнительский сбор </w:t>
      </w:r>
      <w:r>
        <w:rPr>
          <w:rFonts w:ascii="Times New Roman" w:hAnsi="Times New Roman"/>
          <w:b w:val="0"/>
        </w:rPr>
        <w:t>устанавливается в размере 12% (ранее - 7%) от подлежащей взысканию суммы или стоимости взыскиваемого имущества, но не менее 2000 рублей с должника-гражданина или должника - индивидуального предпринимателя (ранее – 1000 рублей) и 20000 рублей с должника-организации (ранее – 10000 рублей). В случае неисполнения исполнительного документа неимущественного характера исполнительский сбор с должника-гражданина или должника - индивидуального предпринимателя устанавливается в размере 10000 рублей (ранее – 5000 рублей), с должника-организации - 100000 рублей (ранее – 50000 рублей).</w:t>
      </w:r>
    </w:p>
    <w:p w14:paraId="19000000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Часть 4 статьи 112 Федерального закона от 02.10.2007 № 229-ФЗ «Об исполнительном производстве» дополнена частью 4.1, в соответствии с которой в случае неисполнения должником исполнительного документа имущественного характера, за исключением исполнительного документа, содержащего требования: </w:t>
      </w:r>
      <w:r>
        <w:rPr>
          <w:rFonts w:ascii="Times New Roman" w:hAnsi="Times New Roman"/>
          <w:b w:val="0"/>
        </w:rPr>
        <w:t xml:space="preserve">по взысканию алиментов, возмещению вреда, причиненного здоровью, возмещению вреда в связи со смертью кормильца, возмещению ущерба, причиненного преступлением, а также требования о компенсации  морального вреда, в срок, установленный для добровольного исполнения исполнительного документа, исполнительский сбор удерживается в размере 11% от взысканной суммы или суммы денежных средств, причитающихся взыскателю от реализации имущества должника. </w:t>
      </w:r>
      <w:r>
        <w:rPr>
          <w:rFonts w:ascii="Times New Roman" w:hAnsi="Times New Roman"/>
          <w:b w:val="0"/>
        </w:rPr>
        <w:t>При этом часть исполнительского сбора, составляющая 1% от размера исполнительского сбора, установленного в соответствии с частью 3 статьи 112 данного закона</w:t>
      </w:r>
      <w:r>
        <w:rPr>
          <w:rFonts w:ascii="Times New Roman" w:hAnsi="Times New Roman"/>
          <w:b w:val="0"/>
        </w:rPr>
        <w:t>, взыскивается после удовлетворения требований взыскателя в полном объеме.</w:t>
      </w:r>
    </w:p>
    <w:p w14:paraId="1A000000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  <w:b w:val="0"/>
        </w:rPr>
        <w:t>Федеральный закон № 563-ФЗ вступил в законную силу с 9 января 2026 года.</w:t>
      </w:r>
    </w:p>
    <w:p w14:paraId="1B000000">
      <w:pPr>
        <w:ind w:firstLine="0"/>
        <w:rPr>
          <w:rFonts w:ascii="Times New Roman" w:hAnsi="Times New Roman"/>
          <w:b w:val="0"/>
        </w:rPr>
      </w:pPr>
    </w:p>
    <w:p w14:paraId="1C000000">
      <w:pPr>
        <w:ind w:firstLine="0"/>
        <w:rPr>
          <w:rFonts w:ascii="Times New Roman" w:hAnsi="Times New Roman"/>
          <w:b w:val="0"/>
        </w:rPr>
      </w:pPr>
    </w:p>
    <w:p w14:paraId="1D000000">
      <w:pPr>
        <w:spacing w:line="240" w:lineRule="exact"/>
        <w:ind w:firstLine="0"/>
        <w:rPr>
          <w:rFonts w:ascii="Times New Roman" w:hAnsi="Times New Roman"/>
        </w:rPr>
      </w:pPr>
      <w:r>
        <w:rPr>
          <w:rFonts w:ascii="Times New Roman" w:hAnsi="Times New Roman"/>
          <w:b w:val="0"/>
        </w:rPr>
        <w:t>Заместитель прокурора города</w:t>
      </w:r>
    </w:p>
    <w:p w14:paraId="1E000000">
      <w:pPr>
        <w:spacing w:line="240" w:lineRule="exact"/>
        <w:ind w:firstLine="0"/>
        <w:rPr>
          <w:rFonts w:ascii="Times New Roman" w:hAnsi="Times New Roman"/>
          <w:b w:val="0"/>
        </w:rPr>
      </w:pPr>
    </w:p>
    <w:p w14:paraId="1F000000">
      <w:pPr>
        <w:spacing w:line="240" w:lineRule="exact"/>
        <w:ind w:firstLine="0"/>
        <w:rPr>
          <w:rFonts w:ascii="Times New Roman" w:hAnsi="Times New Roman"/>
          <w:b w:val="0"/>
        </w:rPr>
      </w:pPr>
      <w:r>
        <w:rPr>
          <w:rFonts w:ascii="Times New Roman" w:hAnsi="Times New Roman"/>
        </w:rPr>
        <w:t>советник юстиции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       С.С. Шарин</w:t>
      </w:r>
    </w:p>
    <w:p w14:paraId="20000000">
      <w:pPr>
        <w:ind w:firstLine="0"/>
        <w:rPr>
          <w:rFonts w:ascii="Times New Roman" w:hAnsi="Times New Roman"/>
        </w:rPr>
      </w:pPr>
    </w:p>
    <w:p w14:paraId="21000000">
      <w:pPr>
        <w:ind w:firstLine="0"/>
        <w:rPr>
          <w:rFonts w:ascii="Times New Roman" w:hAnsi="Times New Roman"/>
        </w:rPr>
      </w:pPr>
    </w:p>
    <w:p w14:paraId="22000000">
      <w:pPr>
        <w:ind w:firstLine="0"/>
        <w:rPr>
          <w:rFonts w:ascii="Times New Roman" w:hAnsi="Times New Roman"/>
          <w:b w:val="0"/>
        </w:rPr>
      </w:pPr>
    </w:p>
    <w:p w14:paraId="23000000">
      <w:pPr>
        <w:ind w:firstLine="0"/>
        <w:rPr>
          <w:rFonts w:ascii="Times New Roman" w:hAnsi="Times New Roman"/>
        </w:rPr>
      </w:pPr>
    </w:p>
    <w:p w14:paraId="24000000">
      <w:pPr>
        <w:ind w:firstLine="0"/>
        <w:rPr>
          <w:rFonts w:ascii="Times New Roman" w:hAnsi="Times New Roman"/>
        </w:rPr>
      </w:pPr>
    </w:p>
    <w:p w14:paraId="25000000">
      <w:pPr>
        <w:ind w:firstLine="0"/>
        <w:rPr>
          <w:rFonts w:ascii="Times New Roman" w:hAnsi="Times New Roman"/>
          <w:b w:val="0"/>
        </w:rPr>
      </w:pPr>
    </w:p>
    <w:p w14:paraId="26000000">
      <w:pPr>
        <w:ind w:firstLine="0"/>
        <w:rPr>
          <w:rFonts w:ascii="Times New Roman" w:hAnsi="Times New Roman"/>
        </w:rPr>
      </w:pPr>
    </w:p>
    <w:p w14:paraId="27000000">
      <w:pPr>
        <w:ind w:firstLine="0"/>
        <w:rPr>
          <w:rFonts w:ascii="Times New Roman" w:hAnsi="Times New Roman"/>
        </w:rPr>
      </w:pPr>
    </w:p>
    <w:p w14:paraId="28000000">
      <w:pPr>
        <w:ind w:firstLine="0"/>
        <w:rPr>
          <w:rFonts w:ascii="Times New Roman" w:hAnsi="Times New Roman"/>
          <w:b w:val="0"/>
        </w:rPr>
      </w:pPr>
    </w:p>
    <w:p w14:paraId="29000000">
      <w:pPr>
        <w:ind w:firstLine="0"/>
        <w:rPr>
          <w:rFonts w:ascii="Times New Roman" w:hAnsi="Times New Roman"/>
        </w:rPr>
      </w:pPr>
    </w:p>
    <w:p w14:paraId="2A000000">
      <w:pPr>
        <w:ind w:firstLine="0"/>
        <w:rPr>
          <w:rFonts w:ascii="Times New Roman" w:hAnsi="Times New Roman"/>
        </w:rPr>
      </w:pPr>
    </w:p>
    <w:p w14:paraId="2B000000">
      <w:pPr>
        <w:ind w:firstLine="0"/>
        <w:rPr>
          <w:rFonts w:ascii="Times New Roman" w:hAnsi="Times New Roman"/>
          <w:b w:val="0"/>
        </w:rPr>
      </w:pPr>
    </w:p>
    <w:p w14:paraId="2C000000">
      <w:pPr>
        <w:ind w:firstLine="0"/>
        <w:rPr>
          <w:rFonts w:ascii="Times New Roman" w:hAnsi="Times New Roman"/>
        </w:rPr>
      </w:pPr>
    </w:p>
    <w:p w14:paraId="2D000000">
      <w:pPr>
        <w:ind w:firstLine="0"/>
        <w:rPr>
          <w:rFonts w:ascii="Times New Roman" w:hAnsi="Times New Roman"/>
        </w:rPr>
      </w:pPr>
    </w:p>
    <w:p w14:paraId="2E000000">
      <w:pPr>
        <w:ind w:firstLine="0"/>
        <w:rPr>
          <w:rFonts w:ascii="Times New Roman" w:hAnsi="Times New Roman"/>
          <w:b w:val="0"/>
        </w:rPr>
      </w:pPr>
    </w:p>
    <w:p w14:paraId="2F000000">
      <w:pPr>
        <w:ind w:firstLine="0"/>
        <w:rPr>
          <w:rFonts w:ascii="Times New Roman" w:hAnsi="Times New Roman"/>
        </w:rPr>
      </w:pPr>
    </w:p>
    <w:p w14:paraId="30000000">
      <w:pPr>
        <w:ind w:firstLine="0"/>
        <w:rPr>
          <w:rFonts w:ascii="Times New Roman" w:hAnsi="Times New Roman"/>
        </w:rPr>
      </w:pPr>
    </w:p>
    <w:p w14:paraId="31000000">
      <w:pPr>
        <w:ind w:firstLine="0"/>
        <w:rPr>
          <w:rFonts w:ascii="Times New Roman" w:hAnsi="Times New Roman"/>
          <w:b w:val="0"/>
        </w:rPr>
      </w:pPr>
    </w:p>
    <w:p w14:paraId="32000000">
      <w:pPr>
        <w:ind w:firstLine="0"/>
        <w:rPr>
          <w:rFonts w:ascii="Times New Roman" w:hAnsi="Times New Roman"/>
        </w:rPr>
      </w:pPr>
    </w:p>
    <w:p w14:paraId="33000000">
      <w:pPr>
        <w:ind w:firstLine="0"/>
        <w:rPr>
          <w:rFonts w:ascii="Times New Roman" w:hAnsi="Times New Roman"/>
        </w:rPr>
      </w:pPr>
    </w:p>
    <w:p w14:paraId="34000000">
      <w:pPr>
        <w:ind w:firstLine="0"/>
        <w:rPr>
          <w:rFonts w:ascii="Times New Roman" w:hAnsi="Times New Roman"/>
          <w:b w:val="0"/>
        </w:rPr>
      </w:pPr>
    </w:p>
    <w:p w14:paraId="35000000">
      <w:pPr>
        <w:ind w:firstLine="0"/>
        <w:rPr>
          <w:rFonts w:ascii="Times New Roman" w:hAnsi="Times New Roman"/>
        </w:rPr>
      </w:pPr>
    </w:p>
    <w:p w14:paraId="36000000">
      <w:pPr>
        <w:ind w:firstLine="0"/>
        <w:rPr>
          <w:rFonts w:ascii="Times New Roman" w:hAnsi="Times New Roman"/>
        </w:rPr>
      </w:pPr>
    </w:p>
    <w:p w14:paraId="37000000">
      <w:pPr>
        <w:ind w:firstLine="0"/>
        <w:rPr>
          <w:rFonts w:ascii="Times New Roman" w:hAnsi="Times New Roman"/>
          <w:b w:val="0"/>
        </w:rPr>
      </w:pPr>
    </w:p>
    <w:p w14:paraId="38000000">
      <w:pPr>
        <w:ind w:firstLine="0"/>
        <w:rPr>
          <w:rFonts w:ascii="Times New Roman" w:hAnsi="Times New Roman"/>
        </w:rPr>
      </w:pPr>
    </w:p>
    <w:p w14:paraId="39000000">
      <w:pPr>
        <w:ind w:firstLine="0"/>
        <w:rPr>
          <w:rFonts w:ascii="Times New Roman" w:hAnsi="Times New Roman"/>
        </w:rPr>
      </w:pPr>
    </w:p>
    <w:p w14:paraId="3A000000">
      <w:pPr>
        <w:ind w:firstLine="0"/>
        <w:rPr>
          <w:rFonts w:ascii="Times New Roman" w:hAnsi="Times New Roman"/>
          <w:b w:val="0"/>
          <w:sz w:val="22"/>
        </w:rPr>
      </w:pPr>
      <w:r>
        <w:rPr>
          <w:rFonts w:ascii="Times New Roman" w:hAnsi="Times New Roman"/>
          <w:sz w:val="22"/>
        </w:rPr>
        <w:t>Л.Н. Пущиенко, 5-12-81</w:t>
      </w:r>
    </w:p>
    <w:sectPr>
      <w:headerReference r:id="rId1" w:type="default"/>
      <w:pgSz w:h="16838" w:orient="portrait" w:w="11906"/>
      <w:pgMar w:bottom="1134" w:left="1304" w:right="737" w:top="1134"/>
      <w:pgNumType w:fmt="decimal"/>
      <w:titlePg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header1.xml><?xml version="1.0" encoding="utf-8"?>
<w:hd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p w14:paraId="01000000">
    <w:pPr>
      <w:pStyle w:val="Style_1"/>
    </w:pPr>
    <w:r>
      <mc:AlternateContent>
        <mc:Choice Requires="wps">
          <w:draw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>
            <wp:anchor allowOverlap="true" behindDoc="false" layoutInCell="true" locked="false" relativeHeight="251658240" simplePos="fals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270000" cy="1270000"/>
              <wp:wrapSquare wrapText="bothSides"/>
              <wp:docPr hidden="false" id="1" name="Picture 1"/>
              <a:graphic>
                <a:graphicData uri="http://schemas.microsoft.com/office/word/2010/wordprocessingShape">
                  <wps:wsp>
                    <wps:cNvSpPr txBox="true"/>
                    <wps:spPr>
                      <a:xfrm flipH="false" flipV="false" rot="0">
                        <a:off x="0" y="0"/>
                        <a:ext cx="1270000" cy="12700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2000000">
                          <w:pPr>
                            <w:ind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>PAGE \* Arabic</w:instrText>
                          </w:r>
                          <w:r>
                            <w:fldChar w:fldCharType="separate"/>
                          </w:r>
                          <w:r>
                            <w:t xml:space="preserve"> 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anchor="ctr" anchorCtr="true" vert="horz" wrap="none">
                      <a:spAutoFit/>
                    </wps:bodyPr>
                  </wps:wsp>
                </a:graphicData>
              </a:graphic>
            </wp:anchor>
          </w:drawing>
        </mc:Choice>
        <mc:Fallback>
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</mc:Fallback>
      </mc:AlternateContent>
    </w:r>
  </w:p>
</w:hdr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20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widowControl w:val="1"/>
        <w:spacing w:after="0" w:before="0" w:line="240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  <w:pPr>
      <w:widowControl w:val="1"/>
      <w:spacing w:line="240" w:lineRule="auto"/>
      <w:ind/>
      <w:jc w:val="both"/>
    </w:pPr>
    <w:rPr>
      <w:rFonts w:ascii="XO Thames" w:hAnsi="XO Thames"/>
      <w:sz w:val="28"/>
    </w:rPr>
  </w:style>
  <w:style w:default="1" w:styleId="Style_2_ch" w:type="character">
    <w:name w:val="Normal"/>
    <w:link w:val="Style_2"/>
    <w:rPr>
      <w:rFonts w:ascii="XO Thames" w:hAnsi="XO Thames"/>
      <w:sz w:val="28"/>
    </w:rPr>
  </w:style>
  <w:style w:styleId="Style_3" w:type="paragraph">
    <w:name w:val="toc 2"/>
    <w:next w:val="Style_2"/>
    <w:link w:val="Style_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toc 4"/>
    <w:next w:val="Style_2"/>
    <w:link w:val="Style_4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2"/>
    <w:link w:val="Style_5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2"/>
    <w:link w:val="Style_6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Endnote"/>
    <w:link w:val="Style_7_ch"/>
    <w:pPr>
      <w:ind w:firstLine="851" w:left="0"/>
      <w:jc w:val="both"/>
    </w:pPr>
    <w:rPr>
      <w:rFonts w:ascii="XO Thames" w:hAnsi="XO Thames"/>
      <w:sz w:val="22"/>
    </w:rPr>
  </w:style>
  <w:style w:styleId="Style_7_ch" w:type="character">
    <w:name w:val="Endnote"/>
    <w:link w:val="Style_7"/>
    <w:rPr>
      <w:rFonts w:ascii="XO Thames" w:hAnsi="XO Thames"/>
      <w:sz w:val="22"/>
    </w:rPr>
  </w:style>
  <w:style w:styleId="Style_8" w:type="paragraph">
    <w:name w:val="heading 3"/>
    <w:next w:val="Style_2"/>
    <w:link w:val="Style_8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8_ch" w:type="character">
    <w:name w:val="heading 3"/>
    <w:link w:val="Style_8"/>
    <w:rPr>
      <w:rFonts w:ascii="XO Thames" w:hAnsi="XO Thames"/>
      <w:b w:val="1"/>
      <w:sz w:val="26"/>
    </w:rPr>
  </w:style>
  <w:style w:styleId="Style_9" w:type="paragraph">
    <w:name w:val="toc 3"/>
    <w:next w:val="Style_2"/>
    <w:link w:val="Style_9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9_ch" w:type="character">
    <w:name w:val="toc 3"/>
    <w:link w:val="Style_9"/>
    <w:rPr>
      <w:rFonts w:ascii="XO Thames" w:hAnsi="XO Thames"/>
      <w:sz w:val="28"/>
    </w:rPr>
  </w:style>
  <w:style w:styleId="Style_10" w:type="paragraph">
    <w:name w:val="heading 5"/>
    <w:next w:val="Style_2"/>
    <w:link w:val="Style_10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0_ch" w:type="character">
    <w:name w:val="heading 5"/>
    <w:link w:val="Style_10"/>
    <w:rPr>
      <w:rFonts w:ascii="XO Thames" w:hAnsi="XO Thames"/>
      <w:b w:val="1"/>
      <w:sz w:val="22"/>
    </w:rPr>
  </w:style>
  <w:style w:styleId="Style_11" w:type="paragraph">
    <w:name w:val="heading 1"/>
    <w:next w:val="Style_2"/>
    <w:link w:val="Style_11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1_ch" w:type="character">
    <w:name w:val="heading 1"/>
    <w:link w:val="Style_11"/>
    <w:rPr>
      <w:rFonts w:ascii="XO Thames" w:hAnsi="XO Thames"/>
      <w:b w:val="1"/>
      <w:sz w:val="32"/>
    </w:rPr>
  </w:style>
  <w:style w:styleId="Style_12" w:type="paragraph">
    <w:name w:val="Hyperlink"/>
    <w:link w:val="Style_12_ch"/>
    <w:rPr>
      <w:color w:val="0000FF"/>
      <w:u w:val="single"/>
    </w:rPr>
  </w:style>
  <w:style w:styleId="Style_12_ch" w:type="character">
    <w:name w:val="Hyperlink"/>
    <w:link w:val="Style_12"/>
    <w:rPr>
      <w:color w:val="0000FF"/>
      <w:u w:val="single"/>
    </w:rPr>
  </w:style>
  <w:style w:styleId="Style_13" w:type="paragraph">
    <w:name w:val="Footnote"/>
    <w:link w:val="Style_13_ch"/>
    <w:pPr>
      <w:ind w:firstLine="851" w:left="0"/>
      <w:jc w:val="both"/>
    </w:pPr>
    <w:rPr>
      <w:rFonts w:ascii="XO Thames" w:hAnsi="XO Thames"/>
      <w:sz w:val="22"/>
    </w:rPr>
  </w:style>
  <w:style w:styleId="Style_13_ch" w:type="character">
    <w:name w:val="Footnote"/>
    <w:link w:val="Style_13"/>
    <w:rPr>
      <w:rFonts w:ascii="XO Thames" w:hAnsi="XO Thames"/>
      <w:sz w:val="22"/>
    </w:rPr>
  </w:style>
  <w:style w:styleId="Style_14" w:type="paragraph">
    <w:name w:val="toc 1"/>
    <w:next w:val="Style_2"/>
    <w:link w:val="Style_14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4_ch" w:type="character">
    <w:name w:val="toc 1"/>
    <w:link w:val="Style_14"/>
    <w:rPr>
      <w:rFonts w:ascii="XO Thames" w:hAnsi="XO Thames"/>
      <w:b w:val="1"/>
      <w:sz w:val="28"/>
    </w:rPr>
  </w:style>
  <w:style w:styleId="Style_1" w:type="paragraph">
    <w:name w:val="Header and Footer"/>
    <w:link w:val="Style_1_ch"/>
    <w:pPr>
      <w:spacing w:line="240" w:lineRule="auto"/>
      <w:ind/>
      <w:jc w:val="both"/>
    </w:pPr>
    <w:rPr>
      <w:rFonts w:ascii="XO Thames" w:hAnsi="XO Thames"/>
      <w:sz w:val="28"/>
    </w:rPr>
  </w:style>
  <w:style w:styleId="Style_1_ch" w:type="character">
    <w:name w:val="Header and Footer"/>
    <w:link w:val="Style_1"/>
    <w:rPr>
      <w:rFonts w:ascii="XO Thames" w:hAnsi="XO Thames"/>
      <w:sz w:val="28"/>
    </w:rPr>
  </w:style>
  <w:style w:styleId="Style_15" w:type="paragraph">
    <w:name w:val="toc 9"/>
    <w:next w:val="Style_2"/>
    <w:link w:val="Style_15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5_ch" w:type="character">
    <w:name w:val="toc 9"/>
    <w:link w:val="Style_15"/>
    <w:rPr>
      <w:rFonts w:ascii="XO Thames" w:hAnsi="XO Thames"/>
      <w:sz w:val="28"/>
    </w:rPr>
  </w:style>
  <w:style w:styleId="Style_16" w:type="paragraph">
    <w:name w:val="toc 8"/>
    <w:next w:val="Style_2"/>
    <w:link w:val="Style_16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6_ch" w:type="character">
    <w:name w:val="toc 8"/>
    <w:link w:val="Style_16"/>
    <w:rPr>
      <w:rFonts w:ascii="XO Thames" w:hAnsi="XO Thames"/>
      <w:sz w:val="28"/>
    </w:rPr>
  </w:style>
  <w:style w:styleId="Style_17" w:type="paragraph">
    <w:name w:val="toc 5"/>
    <w:next w:val="Style_2"/>
    <w:link w:val="Style_17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7_ch" w:type="character">
    <w:name w:val="toc 5"/>
    <w:link w:val="Style_17"/>
    <w:rPr>
      <w:rFonts w:ascii="XO Thames" w:hAnsi="XO Thames"/>
      <w:sz w:val="28"/>
    </w:rPr>
  </w:style>
  <w:style w:styleId="Style_18" w:type="paragraph">
    <w:name w:val="Subtitle"/>
    <w:next w:val="Style_2"/>
    <w:link w:val="Style_18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8_ch" w:type="character">
    <w:name w:val="Subtitle"/>
    <w:link w:val="Style_18"/>
    <w:rPr>
      <w:rFonts w:ascii="XO Thames" w:hAnsi="XO Thames"/>
      <w:i w:val="1"/>
      <w:sz w:val="24"/>
    </w:rPr>
  </w:style>
  <w:style w:styleId="Style_19" w:type="paragraph">
    <w:name w:val="Title"/>
    <w:next w:val="Style_2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2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2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webSettings.xml" Type="http://schemas.openxmlformats.org/officeDocument/2006/relationships/webSettings"/>
  <Relationship Id="rId1" Target="header1.xml" Type="http://schemas.openxmlformats.org/officeDocument/2006/relationships/header"/>
  <Relationship Id="rId2" Target="fontTable.xml" Type="http://schemas.openxmlformats.org/officeDocument/2006/relationships/fontTable"/>
  <Relationship Id="rId3" Target="settings.xml" Type="http://schemas.openxmlformats.org/officeDocument/2006/relationships/settings"/>
  <Relationship Id="rId4" Target="styles.xml" Type="http://schemas.openxmlformats.org/officeDocument/2006/relationships/styles"/>
  <Relationship Id="rId7" Target="theme/theme1.xml" Type="http://schemas.openxmlformats.org/officeDocument/2006/relationships/theme"/>
  <Relationship Id="rId5" Target="stylesWithEffects.xml" Type="http://schemas.microsoft.com/office/2007/relationships/stylesWithEffect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63000"/>
                <a:satMod val="300000"/>
              </a:schemeClr>
            </a:gs>
            <a:gs pos="100000">
              <a:schemeClr val="phClr">
                <a:tint val="8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6350">
          <a:solidFill>
            <a:schemeClr val="phClr">
              <a:shade val="95000"/>
              <a:satMod val="105000"/>
            </a:schemeClr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60000"/>
                <a:satMod val="350000"/>
              </a:schemeClr>
            </a:gs>
            <a:gs pos="40000">
              <a:schemeClr val="phClr">
                <a:tint val="5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2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MyOffice-CoreFramework-Linux/38-1384.1107.10199.1019.1@18975027e3ee4b688e27426d4a78178cb841a344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2026-03-13T13:11:06Z</dcterms:created>
  <dcterms:modified xsi:type="dcterms:W3CDTF">2026-03-13T13:11:06Z</dcterms:modified>
</cp:coreProperties>
</file>