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ind w:firstLine="0" w:left="4819"/>
        <w:rPr>
          <w:rFonts w:ascii="Times New Roman" w:hAnsi="Times New Roman"/>
        </w:rPr>
      </w:pPr>
      <w:r>
        <w:rPr>
          <w:rFonts w:ascii="Times New Roman" w:hAnsi="Times New Roman"/>
        </w:rPr>
        <w:t>Главам муниципальных образований</w:t>
      </w:r>
    </w:p>
    <w:p w14:paraId="04000000">
      <w:pPr>
        <w:rPr>
          <w:rFonts w:ascii="Times New Roman" w:hAnsi="Times New Roman"/>
        </w:rPr>
      </w:pPr>
    </w:p>
    <w:p w14:paraId="05000000">
      <w:pPr>
        <w:rPr>
          <w:rFonts w:ascii="Times New Roman" w:hAnsi="Times New Roman"/>
        </w:rPr>
      </w:pPr>
    </w:p>
    <w:p w14:paraId="06000000">
      <w:pPr>
        <w:rPr>
          <w:rFonts w:ascii="Times New Roman" w:hAnsi="Times New Roman"/>
        </w:rPr>
      </w:pPr>
    </w:p>
    <w:p w14:paraId="07000000">
      <w:pPr>
        <w:rPr>
          <w:rFonts w:ascii="Times New Roman" w:hAnsi="Times New Roman"/>
        </w:rPr>
      </w:pPr>
    </w:p>
    <w:p w14:paraId="08000000">
      <w:pPr>
        <w:rPr>
          <w:rFonts w:ascii="Times New Roman" w:hAnsi="Times New Roman"/>
        </w:rPr>
      </w:pPr>
    </w:p>
    <w:p w14:paraId="09000000">
      <w:pPr>
        <w:rPr>
          <w:rFonts w:ascii="Times New Roman" w:hAnsi="Times New Roman"/>
        </w:rPr>
      </w:pPr>
    </w:p>
    <w:p w14:paraId="0A000000">
      <w:pPr>
        <w:rPr>
          <w:rFonts w:ascii="Times New Roman" w:hAnsi="Times New Roman"/>
        </w:rPr>
      </w:pPr>
    </w:p>
    <w:p w14:paraId="0B000000">
      <w:pPr>
        <w:rPr>
          <w:rFonts w:ascii="Times New Roman" w:hAnsi="Times New Roman"/>
        </w:rPr>
      </w:pPr>
    </w:p>
    <w:p w14:paraId="0C000000">
      <w:pPr>
        <w:rPr>
          <w:rFonts w:ascii="Times New Roman" w:hAnsi="Times New Roman"/>
        </w:rPr>
      </w:pPr>
    </w:p>
    <w:p w14:paraId="0D000000">
      <w:pPr>
        <w:rPr>
          <w:rFonts w:ascii="Times New Roman" w:hAnsi="Times New Roman"/>
        </w:rPr>
      </w:pPr>
    </w:p>
    <w:p w14:paraId="0E000000">
      <w:pPr>
        <w:rPr>
          <w:rFonts w:ascii="Times New Roman" w:hAnsi="Times New Roman"/>
        </w:rPr>
      </w:pPr>
    </w:p>
    <w:p w14:paraId="0F000000">
      <w:pPr>
        <w:rPr>
          <w:rFonts w:ascii="Times New Roman" w:hAnsi="Times New Roman"/>
        </w:rPr>
      </w:pPr>
    </w:p>
    <w:p w14:paraId="10000000">
      <w:pPr>
        <w:rPr>
          <w:rFonts w:ascii="Times New Roman" w:hAnsi="Times New Roman"/>
        </w:rPr>
      </w:pPr>
    </w:p>
    <w:p w14:paraId="11000000">
      <w:pPr>
        <w:spacing w:line="240" w:lineRule="exact"/>
        <w:ind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ИНФОРМАЦИЯ</w:t>
      </w:r>
    </w:p>
    <w:p w14:paraId="12000000">
      <w:pPr>
        <w:spacing w:line="240" w:lineRule="exact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для размещения на официальных сайтах </w:t>
      </w:r>
    </w:p>
    <w:p w14:paraId="13000000">
      <w:pPr>
        <w:rPr>
          <w:rFonts w:ascii="Times New Roman" w:hAnsi="Times New Roman"/>
        </w:rPr>
      </w:pPr>
    </w:p>
    <w:p w14:paraId="14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 рамках соглашений о взаимодействии, а также для обеспечения доступности информации о деятельности прокуратуры г. Бодайбо прошу опубликовать на официальных сайтах муниципальных образований в созданных вкладках следующую информацию.</w:t>
      </w:r>
    </w:p>
    <w:p w14:paraId="15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Заголовок: «Прокуратура разъясняет порядок предоставления лицам из числа детей-сирот и детей, оставшихся без попечения родителей, достигших возраста 23 лет, выплаты на приобретение благоустроенного жилого помещения в собственность или для полного погашения кредита (займа) по договору, обязательства заемщика по которому обеспечены ипотекой».</w:t>
      </w:r>
    </w:p>
    <w:p w14:paraId="16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Статьей 8.1 Федерального закона от 21.12.1996 № 159-ФЗ «О дополнительных гарантиях по социальной поддержке детей-сирот и детей, оставшихся без попечения родителей», постановлением Правительства РФ от 21.12.2023 № 2227 «Об отдельных вопросах...» регламентированы порядок и условия предоставления выплаты.</w:t>
      </w:r>
    </w:p>
    <w:p w14:paraId="17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Для предоставления выплаты гражданин должен соответствовать следующим условиям:</w:t>
      </w:r>
    </w:p>
    <w:p w14:paraId="18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наличие документально подтвержденного за последние 12 календарных месяцев дохода, не ниже минимального размера оплаты труда, который обеспечивает каждому из членов семьи среднедушевой доход не ниже величины прожиточного минимума;</w:t>
      </w:r>
    </w:p>
    <w:p w14:paraId="19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отсутствие задолженности по налогам и сборам, иным обязательным платежам;</w:t>
      </w:r>
    </w:p>
    <w:p w14:paraId="1A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отсутствие психических заболеваний, алкогольной и наркотической зависимости;</w:t>
      </w:r>
    </w:p>
    <w:p w14:paraId="1B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отсутствие судимости и (или) факта уголовного преследования за умышленное преступление</w:t>
      </w:r>
    </w:p>
    <w:p w14:paraId="1C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отсутствие трудной жизненной ситуации.</w:t>
      </w:r>
    </w:p>
    <w:p w14:paraId="1D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Заявление подается в министерство социального развития, опеки и попечительства Иркутской области.</w:t>
      </w:r>
    </w:p>
    <w:p w14:paraId="1E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К заявлению необходимо предоставить паспорт и справки медицинской организации об отсутствии психического заболеания, алко– и наркозависимости.</w:t>
      </w:r>
    </w:p>
    <w:p w14:paraId="1F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Иные документы, подтверждающие соответствие условиям предоставления выплаты, будут запрошены в порядке межведомственного взаимодействия, в том числе результаты обследования, проведенного органом социальной защиты, на предмет наличия или отсутствия трудной жизненной ситуации.</w:t>
      </w:r>
    </w:p>
    <w:p w14:paraId="20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Органами опеки и попечительства на основании сведений, полученных от лиц из числа детей-сирот, до 1 июля каждого года формируется список граждан, претендующих на получение выплаты на следующий год.</w:t>
      </w:r>
    </w:p>
    <w:p w14:paraId="21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О возможности подачи заявления претендент на получение выплаты уведомляется после доведения финансирования.</w:t>
      </w:r>
    </w:p>
    <w:p w14:paraId="22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Расчет размера выплаты производится исходи из 33 кв.м. общей площади жилья и стоимости 1 кв.м. жилого помещения по Иркутской области, утверждаемой ежеквартально Министерством строительства и жилищно-коммунального хозяйства Российской Федерации. </w:t>
      </w:r>
    </w:p>
    <w:p w14:paraId="23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Приобретаемой за счет выплаты жилое помещение должно располагаться на территории любого субъекта Российской Федерации, его площадь составлять не менее 33 кв.м., быть благоустроенным (наличие электро-, водоснабжения, отопления и канализации).</w:t>
      </w:r>
    </w:p>
    <w:p w14:paraId="24000000">
      <w:pPr>
        <w:rPr>
          <w:rFonts w:ascii="Times New Roman" w:hAnsi="Times New Roman"/>
        </w:rPr>
      </w:pPr>
    </w:p>
    <w:p w14:paraId="25000000">
      <w:pPr>
        <w:rPr>
          <w:rFonts w:ascii="Times New Roman" w:hAnsi="Times New Roman"/>
        </w:rPr>
      </w:pPr>
    </w:p>
    <w:p w14:paraId="26000000">
      <w:pPr>
        <w:spacing w:line="240" w:lineRule="exact"/>
        <w:ind/>
        <w:rPr>
          <w:rFonts w:ascii="Times New Roman" w:hAnsi="Times New Roman"/>
        </w:rPr>
      </w:pPr>
      <w:r>
        <w:rPr>
          <w:rFonts w:ascii="Times New Roman" w:hAnsi="Times New Roman"/>
        </w:rPr>
        <w:t>Заместитель прокурора города</w:t>
      </w:r>
    </w:p>
    <w:p w14:paraId="27000000">
      <w:pPr>
        <w:spacing w:line="240" w:lineRule="exact"/>
        <w:ind/>
        <w:rPr>
          <w:rFonts w:ascii="Times New Roman" w:hAnsi="Times New Roman"/>
        </w:rPr>
      </w:pPr>
    </w:p>
    <w:p w14:paraId="28000000">
      <w:pPr>
        <w:spacing w:line="240" w:lineRule="exact"/>
        <w:ind/>
        <w:rPr>
          <w:rFonts w:ascii="Times New Roman" w:hAnsi="Times New Roman"/>
        </w:rPr>
      </w:pPr>
      <w:r>
        <w:rPr>
          <w:rFonts w:ascii="Times New Roman" w:hAnsi="Times New Roman"/>
        </w:rPr>
        <w:t>советник юстиции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С.С. Шарин</w:t>
      </w:r>
    </w:p>
    <w:p w14:paraId="29000000">
      <w:pPr>
        <w:rPr>
          <w:rFonts w:ascii="Times New Roman" w:hAnsi="Times New Roman"/>
        </w:rPr>
      </w:pPr>
    </w:p>
    <w:p w14:paraId="2A000000">
      <w:pPr>
        <w:rPr>
          <w:rFonts w:ascii="Times New Roman" w:hAnsi="Times New Roman"/>
        </w:rPr>
      </w:pPr>
    </w:p>
    <w:p w14:paraId="2B000000">
      <w:pPr>
        <w:rPr>
          <w:rFonts w:ascii="Times New Roman" w:hAnsi="Times New Roman"/>
        </w:rPr>
      </w:pPr>
    </w:p>
    <w:p w14:paraId="2C000000">
      <w:pPr>
        <w:rPr>
          <w:rFonts w:ascii="Times New Roman" w:hAnsi="Times New Roman"/>
        </w:rPr>
      </w:pPr>
    </w:p>
    <w:p w14:paraId="2D000000">
      <w:pPr>
        <w:rPr>
          <w:rFonts w:ascii="Times New Roman" w:hAnsi="Times New Roman"/>
        </w:rPr>
      </w:pPr>
    </w:p>
    <w:p w14:paraId="2E000000">
      <w:pPr>
        <w:rPr>
          <w:rFonts w:ascii="Times New Roman" w:hAnsi="Times New Roman"/>
        </w:rPr>
      </w:pPr>
    </w:p>
    <w:p w14:paraId="2F000000">
      <w:pPr>
        <w:rPr>
          <w:rFonts w:ascii="Times New Roman" w:hAnsi="Times New Roman"/>
        </w:rPr>
      </w:pPr>
    </w:p>
    <w:p w14:paraId="30000000">
      <w:pPr>
        <w:rPr>
          <w:rFonts w:ascii="Times New Roman" w:hAnsi="Times New Roman"/>
        </w:rPr>
      </w:pPr>
    </w:p>
    <w:p w14:paraId="31000000">
      <w:pPr>
        <w:rPr>
          <w:rFonts w:ascii="Times New Roman" w:hAnsi="Times New Roman"/>
        </w:rPr>
      </w:pPr>
    </w:p>
    <w:p w14:paraId="32000000">
      <w:pPr>
        <w:rPr>
          <w:rFonts w:ascii="Times New Roman" w:hAnsi="Times New Roman"/>
        </w:rPr>
      </w:pPr>
    </w:p>
    <w:p w14:paraId="33000000">
      <w:pPr>
        <w:rPr>
          <w:rFonts w:ascii="Times New Roman" w:hAnsi="Times New Roman"/>
        </w:rPr>
      </w:pPr>
    </w:p>
    <w:p w14:paraId="34000000">
      <w:pPr>
        <w:rPr>
          <w:rFonts w:ascii="Times New Roman" w:hAnsi="Times New Roman"/>
        </w:rPr>
      </w:pPr>
    </w:p>
    <w:p w14:paraId="35000000">
      <w:pPr>
        <w:rPr>
          <w:rFonts w:ascii="Times New Roman" w:hAnsi="Times New Roman"/>
        </w:rPr>
      </w:pPr>
    </w:p>
    <w:p w14:paraId="36000000">
      <w:pPr>
        <w:rPr>
          <w:rFonts w:ascii="Times New Roman" w:hAnsi="Times New Roman"/>
        </w:rPr>
      </w:pPr>
    </w:p>
    <w:p w14:paraId="37000000">
      <w:pPr>
        <w:rPr>
          <w:rFonts w:ascii="Times New Roman" w:hAnsi="Times New Roman"/>
        </w:rPr>
      </w:pPr>
    </w:p>
    <w:p w14:paraId="38000000">
      <w:pPr>
        <w:rPr>
          <w:rFonts w:ascii="Times New Roman" w:hAnsi="Times New Roman"/>
        </w:rPr>
      </w:pPr>
    </w:p>
    <w:p w14:paraId="39000000">
      <w:pPr>
        <w:rPr>
          <w:rFonts w:ascii="Times New Roman" w:hAnsi="Times New Roman"/>
        </w:rPr>
      </w:pPr>
    </w:p>
    <w:p w14:paraId="3A000000">
      <w:pPr>
        <w:rPr>
          <w:rFonts w:ascii="Times New Roman" w:hAnsi="Times New Roman"/>
        </w:rPr>
      </w:pPr>
    </w:p>
    <w:p w14:paraId="3B000000">
      <w:pPr>
        <w:pStyle w:val="Style_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Л</w:t>
      </w:r>
      <w:r>
        <w:rPr>
          <w:rFonts w:ascii="Times New Roman" w:hAnsi="Times New Roman"/>
          <w:sz w:val="20"/>
        </w:rPr>
        <w:t>.Н. Пущие</w:t>
      </w:r>
      <w:r>
        <w:rPr>
          <w:rFonts w:ascii="Times New Roman" w:hAnsi="Times New Roman"/>
          <w:sz w:val="20"/>
        </w:rPr>
        <w:t>нко, тел.: 5-12-81</w:t>
      </w:r>
    </w:p>
    <w:sectPr>
      <w:headerReference r:id="rId1" w:type="default"/>
      <w:pgSz w:h="16838" w:orient="portrait" w:w="11906"/>
      <w:pgMar w:bottom="1134" w:left="1304" w:right="737" w:top="1134"/>
      <w:pgNumType w:fmt="decimal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p:anchor allowOverlap="true" behindDoc="false" layoutInCell="true" locked="false" relativeHeight="251658240" simplePos="fals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70000" cy="1270000"/>
              <wp:wrapSquare wrapText="bothSides"/>
              <wp:docPr hidden="false" id="1" name="Picture 1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1270000" cy="1270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000000">
                          <w:pPr>
                            <w:ind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\* Arabic</w:instrText>
                          </w:r>
                          <w:r>
                            <w:fldChar w:fldCharType="separate"/>
                          </w:r>
                          <w: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anchor="ctr" anchorCtr="true" vert="horz" wrap="none">
                      <a:sp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default="1" w:styleId="Style_2_ch" w:type="character">
    <w:name w:val="Normal"/>
    <w:link w:val="Style_2"/>
    <w:rPr>
      <w:rFonts w:ascii="XO Thames" w:hAnsi="XO Thames"/>
      <w:sz w:val="28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" w:type="paragraph">
    <w:name w:val="Header and Footer"/>
    <w:link w:val="Style_1_ch"/>
    <w:pPr>
      <w:spacing w:line="240" w:lineRule="auto"/>
      <w:ind/>
      <w:jc w:val="both"/>
    </w:pPr>
    <w:rPr>
      <w:rFonts w:ascii="XO Thames" w:hAnsi="XO Thames"/>
      <w:sz w:val="28"/>
    </w:rPr>
  </w:style>
  <w:style w:styleId="Style_1_ch" w:type="character">
    <w:name w:val="Header and Footer"/>
    <w:link w:val="Style_1"/>
    <w:rPr>
      <w:rFonts w:ascii="XO Thames" w:hAnsi="XO Thames"/>
      <w:sz w:val="28"/>
    </w:rPr>
  </w:style>
  <w:style w:styleId="Style_15" w:type="paragraph">
    <w:name w:val="toc 9"/>
    <w:next w:val="Style_2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2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2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2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2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2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2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header1.xml" Type="http://schemas.openxmlformats.org/officeDocument/2006/relationships/header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2026-03-13T12:40:47Z</dcterms:created>
  <dcterms:modified xsi:type="dcterms:W3CDTF">2026-03-13T12:40:47Z</dcterms:modified>
</cp:coreProperties>
</file>