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1" Target="word/document.xml" Type="http://schemas.openxmlformats.org/officeDocument/2006/relationships/officeDocument"/>
  <Relationship Id="rId2" Target="docProps/app.xml" Type="http://schemas.openxmlformats.org/officeDocument/2006/relationships/extended-properties"/>
  <Relationship Id="rId3" Target="docProps/core.xml" Type="http://schemas.openxmlformats.org/package/2006/relationships/metadata/core-properties"/>
</Relationships>

</file>

<file path=word/document.xml><?xml version="1.0" encoding="utf-8"?>
<w:documen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body>
    <w:p w14:paraId="03000000">
      <w:pPr>
        <w:widowControl w:val="1"/>
        <w:ind/>
        <w:jc w:val="center"/>
        <w:rPr>
          <w:b w:val="0"/>
        </w:rPr>
      </w:pPr>
      <w:r>
        <w:rPr>
          <w:sz w:val="28"/>
        </w:rPr>
        <w:t>«Изменения законодательства о воинской обязанности и военной службе</w:t>
      </w:r>
      <w:r>
        <w:rPr>
          <w:b w:val="0"/>
          <w:sz w:val="28"/>
        </w:rPr>
        <w:t>»</w:t>
      </w:r>
    </w:p>
    <w:p w14:paraId="04000000">
      <w:pPr>
        <w:widowControl w:val="1"/>
        <w:ind/>
        <w:jc w:val="center"/>
        <w:rPr>
          <w:b w:val="0"/>
          <w:sz w:val="28"/>
        </w:rPr>
      </w:pPr>
    </w:p>
    <w:p w14:paraId="05000000">
      <w:pPr>
        <w:widowControl w:val="1"/>
        <w:ind w:firstLine="709"/>
        <w:jc w:val="both"/>
        <w:rPr>
          <w:sz w:val="28"/>
        </w:rPr>
      </w:pPr>
      <w:r>
        <w:rPr>
          <w:sz w:val="28"/>
        </w:rPr>
        <w:t xml:space="preserve">В соответствии с Федеральным законом от 04.11.2025 № 412-ФЗ </w:t>
      </w:r>
      <w:r>
        <w:rPr>
          <w:sz w:val="28"/>
        </w:rPr>
        <w:br/>
      </w:r>
      <w:r>
        <w:rPr>
          <w:sz w:val="28"/>
        </w:rPr>
        <w:t>«О внесении изменений в Федеральный закон "О воинской обязанности и военной службе" и статью 11 Федерального закона "Об альтернативной гражданской службе», п</w:t>
      </w:r>
      <w:r>
        <w:rPr>
          <w:sz w:val="28"/>
        </w:rPr>
        <w:t xml:space="preserve">ризывать граждан не из запаса на срочную военную службу будут </w:t>
      </w:r>
      <w:r>
        <w:rPr>
          <w:sz w:val="28"/>
        </w:rPr>
        <w:br/>
      </w:r>
      <w:r>
        <w:rPr>
          <w:sz w:val="28"/>
        </w:rPr>
        <w:t xml:space="preserve">с 1 января по 31 декабря, т.е. круглогодично. Таким образом, в течение всего года военкоматы смогут вызывать кандидатов на прохождение военной службы </w:t>
      </w:r>
      <w:r>
        <w:rPr>
          <w:sz w:val="28"/>
        </w:rPr>
        <w:br/>
      </w:r>
      <w:r>
        <w:rPr>
          <w:sz w:val="28"/>
        </w:rPr>
        <w:t>по призыву на медицинское освидетельствование, заседания призывной комиссии и другие мероприятия перед направлением кандидата на срочную службу. Основанием для призыва останутся указы президента.</w:t>
      </w:r>
    </w:p>
    <w:p w14:paraId="06000000">
      <w:pPr>
        <w:ind w:firstLine="709"/>
        <w:jc w:val="both"/>
        <w:rPr>
          <w:sz w:val="28"/>
        </w:rPr>
      </w:pPr>
      <w:r>
        <w:rPr>
          <w:sz w:val="28"/>
        </w:rPr>
        <w:t xml:space="preserve">Отправлять к месту службы в большинстве случаев будут с 1 апреля </w:t>
      </w:r>
      <w:r>
        <w:rPr>
          <w:sz w:val="28"/>
        </w:rPr>
        <w:br/>
      </w:r>
      <w:r>
        <w:rPr>
          <w:sz w:val="28"/>
        </w:rPr>
        <w:t xml:space="preserve">по 15 июля </w:t>
      </w:r>
      <w:r>
        <w:rPr>
          <w:sz w:val="28"/>
        </w:rPr>
        <w:t>и с 1 октября по 31 декабря.</w:t>
      </w:r>
    </w:p>
    <w:p w14:paraId="07000000">
      <w:pPr>
        <w:widowControl w:val="1"/>
        <w:ind w:firstLine="709"/>
        <w:jc w:val="both"/>
        <w:rPr>
          <w:sz w:val="26"/>
        </w:rPr>
      </w:pPr>
    </w:p>
    <w:p w14:paraId="08000000">
      <w:pPr>
        <w:widowControl w:val="1"/>
        <w:tabs>
          <w:tab w:leader="none" w:pos="930" w:val="left"/>
        </w:tabs>
        <w:spacing w:line="240" w:lineRule="exact"/>
        <w:ind/>
        <w:jc w:val="right"/>
        <w:rPr>
          <w:sz w:val="26"/>
        </w:rPr>
      </w:pPr>
      <w:r>
        <w:rPr>
          <w:sz w:val="26"/>
        </w:rPr>
        <w:t>Прокуратура города разъясняет</w:t>
      </w:r>
    </w:p>
    <w:p w14:paraId="09000000">
      <w:pPr>
        <w:widowControl w:val="1"/>
        <w:tabs>
          <w:tab w:leader="none" w:pos="930" w:val="left"/>
        </w:tabs>
        <w:spacing w:line="240" w:lineRule="exact"/>
        <w:ind/>
        <w:jc w:val="center"/>
        <w:rPr>
          <w:sz w:val="26"/>
        </w:rPr>
      </w:pPr>
    </w:p>
    <w:p w14:paraId="0A000000">
      <w:pPr>
        <w:rPr>
          <w:sz w:val="27"/>
        </w:rPr>
      </w:pPr>
    </w:p>
    <w:p w14:paraId="0B000000">
      <w:pPr>
        <w:ind/>
        <w:jc w:val="both"/>
        <w:rPr>
          <w:sz w:val="27"/>
        </w:rPr>
      </w:pPr>
      <w:r>
        <w:rPr>
          <w:sz w:val="27"/>
        </w:rPr>
        <w:t>«Продлено действие кредитных каникул на 2026 год для лиц, призванных на военную службу по мобилизации в вооруженные силы Российской Федерации, лиц, принимающим участие в специальной военной операции, а также членам их семей»</w:t>
      </w:r>
    </w:p>
    <w:p w14:paraId="0C000000">
      <w:pPr>
        <w:rPr>
          <w:sz w:val="26"/>
        </w:rPr>
      </w:pPr>
    </w:p>
    <w:p w14:paraId="0D000000">
      <w:pPr>
        <w:ind/>
        <w:jc w:val="both"/>
        <w:rPr>
          <w:sz w:val="27"/>
        </w:rPr>
      </w:pPr>
      <w:r>
        <w:rPr>
          <w:sz w:val="27"/>
        </w:rPr>
        <w:tab/>
      </w:r>
      <w:r>
        <w:rPr>
          <w:sz w:val="28"/>
        </w:rPr>
        <w:t xml:space="preserve">Федеральный закон от 15.12.2025 № 477-ФЗ «О внесении изменений </w:t>
      </w:r>
      <w:r>
        <w:rPr>
          <w:sz w:val="28"/>
        </w:rPr>
        <w:br/>
      </w:r>
      <w:r>
        <w:rPr>
          <w:sz w:val="28"/>
        </w:rPr>
        <w:t xml:space="preserve">в отдельные законодательные акты Российской Федерации и признании утратившими силу отдельных положений законодательных актов Российской Федерации» продлил действие </w:t>
      </w:r>
      <w:r>
        <w:rPr>
          <w:sz w:val="28"/>
        </w:rPr>
        <w:t xml:space="preserve">Федерального закона от 07.10.2022 № 377-ФЗ  </w:t>
      </w:r>
      <w:r>
        <w:rPr>
          <w:sz w:val="28"/>
        </w:rPr>
        <w:br/>
      </w:r>
      <w:r>
        <w:rPr>
          <w:sz w:val="28"/>
        </w:rPr>
        <w:t xml:space="preserve">«Об особенностях исполнения обязательств по кредитным договорам (договорам займа) лицами, призванными на военную службу по мобилизации </w:t>
      </w:r>
      <w:r>
        <w:rPr>
          <w:sz w:val="28"/>
        </w:rPr>
        <w:br/>
      </w:r>
      <w:r>
        <w:rPr>
          <w:sz w:val="28"/>
        </w:rPr>
        <w:t xml:space="preserve">в Вооруженные Силы Российской Федерации, лицами, принимающими участие </w:t>
      </w:r>
      <w:r>
        <w:rPr>
          <w:sz w:val="28"/>
        </w:rPr>
        <w:br/>
      </w:r>
      <w:r>
        <w:rPr>
          <w:sz w:val="28"/>
        </w:rPr>
        <w:t>в специальной военной операции, а также членами их семей и о внесении изменений в отдельные законодательные акты Российской Федерации»</w:t>
      </w:r>
      <w:r>
        <w:rPr>
          <w:sz w:val="28"/>
        </w:rPr>
        <w:t xml:space="preserve"> на 2026 год. Таким образом, в</w:t>
      </w:r>
      <w:r>
        <w:rPr>
          <w:sz w:val="28"/>
        </w:rPr>
        <w:t xml:space="preserve"> 2026 году заемщики из числа физлиц и ИП по-прежнему смогут потребовать, например, от банка либо МФО приостановить исполнение обязательств по кредиту или займу. Речь идет, в частности, </w:t>
      </w:r>
      <w:r>
        <w:rPr>
          <w:sz w:val="28"/>
        </w:rPr>
        <w:br/>
      </w:r>
      <w:r>
        <w:rPr>
          <w:sz w:val="28"/>
        </w:rPr>
        <w:t xml:space="preserve">о гражданах, которые до дня их мобилизации заключили договор по Закону </w:t>
      </w:r>
      <w:r>
        <w:rPr>
          <w:sz w:val="28"/>
        </w:rPr>
        <w:br/>
      </w:r>
      <w:r>
        <w:rPr>
          <w:sz w:val="28"/>
        </w:rPr>
        <w:t>о потребкредите.</w:t>
      </w:r>
    </w:p>
    <w:p w14:paraId="0E000000">
      <w:pPr>
        <w:rPr>
          <w:sz w:val="27"/>
        </w:rPr>
      </w:pPr>
      <w:r>
        <w:rPr>
          <w:sz w:val="27"/>
        </w:rPr>
        <w:tab/>
      </w:r>
      <w:r>
        <w:rPr>
          <w:sz w:val="27"/>
        </w:rPr>
        <w:t>Изменения вступают в силу 1 января 2026 года.</w:t>
      </w:r>
    </w:p>
    <w:p w14:paraId="0F000000">
      <w:pPr>
        <w:rPr>
          <w:sz w:val="27"/>
        </w:rPr>
      </w:pPr>
    </w:p>
    <w:p w14:paraId="10000000">
      <w:pPr>
        <w:ind/>
        <w:jc w:val="right"/>
        <w:rPr>
          <w:sz w:val="27"/>
        </w:rPr>
      </w:pPr>
      <w:r>
        <w:rPr>
          <w:sz w:val="26"/>
        </w:rPr>
        <w:t>Прокуратура города разъясняет</w:t>
      </w:r>
    </w:p>
    <w:p w14:paraId="11000000">
      <w:pPr>
        <w:rPr>
          <w:sz w:val="26"/>
        </w:rPr>
      </w:pPr>
    </w:p>
    <w:p w14:paraId="12000000">
      <w:pPr>
        <w:widowControl w:val="1"/>
        <w:ind/>
        <w:jc w:val="center"/>
        <w:rPr>
          <w:sz w:val="27"/>
        </w:rPr>
      </w:pPr>
    </w:p>
    <w:p w14:paraId="13000000">
      <w:pPr>
        <w:widowControl w:val="1"/>
        <w:ind/>
        <w:jc w:val="center"/>
        <w:rPr>
          <w:sz w:val="28"/>
        </w:rPr>
      </w:pPr>
      <w:r>
        <w:rPr>
          <w:sz w:val="28"/>
        </w:rPr>
        <w:tab/>
      </w:r>
      <w:r>
        <w:rPr>
          <w:sz w:val="28"/>
        </w:rPr>
        <w:t>«Изменения в федеральном законодательстве о здравоохранении»</w:t>
      </w:r>
    </w:p>
    <w:p w14:paraId="14000000">
      <w:pPr>
        <w:widowControl w:val="1"/>
        <w:ind/>
        <w:jc w:val="center"/>
        <w:rPr>
          <w:sz w:val="28"/>
        </w:rPr>
      </w:pPr>
    </w:p>
    <w:p w14:paraId="15000000">
      <w:pPr>
        <w:widowControl w:val="1"/>
        <w:ind w:firstLine="709"/>
        <w:jc w:val="both"/>
        <w:rPr>
          <w:sz w:val="28"/>
        </w:rPr>
      </w:pPr>
      <w:r>
        <w:rPr>
          <w:sz w:val="28"/>
        </w:rPr>
        <w:t xml:space="preserve">С 1 января 2026 года вступают в силу изменения </w:t>
      </w:r>
      <w:r>
        <w:rPr>
          <w:sz w:val="28"/>
        </w:rPr>
        <w:t xml:space="preserve">приказа </w:t>
      </w:r>
      <w:r>
        <w:rPr>
          <w:sz w:val="28"/>
        </w:rPr>
        <w:t>от 29 января 2016 г. № 38н</w:t>
      </w:r>
      <w:r>
        <w:rPr>
          <w:sz w:val="28"/>
        </w:rPr>
        <w:t xml:space="preserve"> </w:t>
      </w:r>
      <w:r>
        <w:rPr>
          <w:sz w:val="28"/>
        </w:rPr>
        <w:t xml:space="preserve">«об утверждении оказания медицинской помощи по профилю Гериатрия»», согласно которым, в структуре медицинского учреждения с мощностью коечного фонда </w:t>
      </w:r>
      <w:r>
        <w:rPr>
          <w:sz w:val="28"/>
        </w:rPr>
        <w:t xml:space="preserve">400 коек и более необходимо предусмотреть гериатрические кабинеты. </w:t>
      </w:r>
    </w:p>
    <w:p w14:paraId="16000000">
      <w:pPr>
        <w:widowControl w:val="1"/>
        <w:ind/>
        <w:jc w:val="both"/>
        <w:rPr>
          <w:sz w:val="28"/>
        </w:rPr>
      </w:pPr>
      <w:r>
        <w:rPr>
          <w:sz w:val="28"/>
        </w:rPr>
        <w:t>Их оснащение в числе прочего должно включать:</w:t>
      </w:r>
    </w:p>
    <w:p w14:paraId="17000000">
      <w:pPr>
        <w:rPr>
          <w:sz w:val="28"/>
        </w:rPr>
      </w:pPr>
      <w:r>
        <w:rPr>
          <w:sz w:val="28"/>
        </w:rPr>
        <w:t>- стетофонендоскоп;</w:t>
      </w:r>
    </w:p>
    <w:p w14:paraId="18000000">
      <w:pPr>
        <w:rPr>
          <w:sz w:val="28"/>
        </w:rPr>
      </w:pPr>
      <w:r>
        <w:rPr>
          <w:sz w:val="28"/>
        </w:rPr>
        <w:t>- динамометр;</w:t>
      </w:r>
    </w:p>
    <w:p w14:paraId="19000000">
      <w:pPr>
        <w:rPr>
          <w:sz w:val="28"/>
        </w:rPr>
      </w:pPr>
      <w:r>
        <w:rPr>
          <w:sz w:val="28"/>
        </w:rPr>
        <w:t>- отоскоп;</w:t>
      </w:r>
    </w:p>
    <w:p w14:paraId="1A000000">
      <w:pPr>
        <w:rPr>
          <w:sz w:val="28"/>
        </w:rPr>
      </w:pPr>
      <w:r>
        <w:rPr>
          <w:sz w:val="28"/>
        </w:rPr>
        <w:t>- устройство для усиления звука;</w:t>
      </w:r>
    </w:p>
    <w:p w14:paraId="1B000000">
      <w:pPr>
        <w:rPr>
          <w:sz w:val="28"/>
        </w:rPr>
      </w:pPr>
      <w:r>
        <w:rPr>
          <w:sz w:val="28"/>
        </w:rPr>
        <w:t>- таблицу Розенбаума.</w:t>
      </w:r>
    </w:p>
    <w:p w14:paraId="1C000000">
      <w:pPr>
        <w:widowControl w:val="1"/>
        <w:ind/>
        <w:jc w:val="both"/>
        <w:rPr>
          <w:sz w:val="28"/>
        </w:rPr>
      </w:pPr>
      <w:r>
        <w:rPr>
          <w:sz w:val="28"/>
        </w:rPr>
        <w:tab/>
      </w:r>
      <w:r>
        <w:rPr>
          <w:sz w:val="28"/>
        </w:rPr>
        <w:t>Также установлена штатная численность медицинского персонала из расчета 1 врача-гериатра на 400 коек и 1 медицинской сестры на 1 должность врача-гериатра.</w:t>
      </w:r>
    </w:p>
    <w:p w14:paraId="1D000000">
      <w:pPr>
        <w:widowControl w:val="1"/>
        <w:ind/>
        <w:jc w:val="both"/>
        <w:rPr>
          <w:sz w:val="28"/>
        </w:rPr>
      </w:pPr>
      <w:r>
        <w:rPr>
          <w:sz w:val="28"/>
        </w:rPr>
        <w:tab/>
      </w:r>
    </w:p>
    <w:p w14:paraId="1E000000">
      <w:pPr>
        <w:widowControl w:val="1"/>
        <w:ind/>
        <w:jc w:val="right"/>
        <w:rPr>
          <w:sz w:val="28"/>
        </w:rPr>
      </w:pPr>
      <w:r>
        <w:rPr>
          <w:sz w:val="26"/>
        </w:rPr>
        <w:t>Прокуратура города разъясняет</w:t>
      </w:r>
    </w:p>
    <w:p w14:paraId="1F000000">
      <w:pPr>
        <w:widowControl w:val="1"/>
        <w:ind/>
        <w:jc w:val="right"/>
        <w:rPr>
          <w:sz w:val="26"/>
        </w:rPr>
      </w:pPr>
    </w:p>
    <w:p w14:paraId="20000000">
      <w:pPr>
        <w:widowControl w:val="1"/>
        <w:ind/>
        <w:jc w:val="right"/>
        <w:rPr>
          <w:sz w:val="26"/>
        </w:rPr>
      </w:pPr>
    </w:p>
    <w:p w14:paraId="21000000">
      <w:pPr>
        <w:widowControl w:val="1"/>
        <w:ind/>
        <w:jc w:val="right"/>
        <w:rPr>
          <w:sz w:val="28"/>
        </w:rPr>
      </w:pPr>
    </w:p>
    <w:p w14:paraId="22000000">
      <w:pPr>
        <w:widowControl w:val="1"/>
        <w:ind/>
        <w:jc w:val="center"/>
        <w:rPr>
          <w:sz w:val="26"/>
        </w:rPr>
      </w:pPr>
      <w:r>
        <w:rPr>
          <w:sz w:val="26"/>
        </w:rPr>
        <w:t>«Государственной Думой Российской Федерации принят Федеральный закон о предоставлении социальных гарантий женщинам, удостоенным звания «Мать-героиня»»</w:t>
      </w:r>
    </w:p>
    <w:p w14:paraId="23000000">
      <w:pPr>
        <w:widowControl w:val="1"/>
        <w:ind/>
        <w:jc w:val="center"/>
        <w:rPr>
          <w:sz w:val="26"/>
        </w:rPr>
      </w:pPr>
    </w:p>
    <w:p w14:paraId="24000000">
      <w:pPr>
        <w:widowControl w:val="1"/>
        <w:ind/>
        <w:jc w:val="both"/>
        <w:rPr>
          <w:b w:val="0"/>
        </w:rPr>
      </w:pPr>
      <w:r>
        <w:rPr>
          <w:sz w:val="28"/>
        </w:rPr>
        <w:tab/>
      </w:r>
      <w:r>
        <w:rPr>
          <w:sz w:val="26"/>
        </w:rPr>
        <w:t>Государственной Думой принят «</w:t>
      </w:r>
      <w:r>
        <w:t xml:space="preserve">Федеральный закон от 28.11.2025 № 435-ФЗ </w:t>
      </w:r>
      <w:r>
        <w:br/>
      </w:r>
      <w:r>
        <w:t xml:space="preserve">«О предоставлении социальных гарантий женщинам, удостоенным звания «Мать-героиня»», который вступает в законную силу с 1 января 2026 года и устанавливает </w:t>
      </w:r>
      <w:r>
        <w:rPr>
          <w:b w:val="0"/>
        </w:rPr>
        <w:t>права и льготы (меры социальной поддержки), которые призваны обеспечить экономическое и социальное благополучие указанных граждан Российской Федерации.</w:t>
      </w:r>
    </w:p>
    <w:p w14:paraId="25000000">
      <w:pPr>
        <w:ind w:firstLine="709"/>
        <w:jc w:val="both"/>
      </w:pPr>
      <w:r>
        <w:t>Действие настоящего Федерального закона распространяется на женщин, являющихся гражданами Российской Федерации, родивших и воспитавших десять и более детей, являющихся гражданами Российской Федерации, и удостоенных звания «Мать-героиня»</w:t>
      </w:r>
      <w:r>
        <w:br/>
      </w:r>
      <w:r>
        <w:t xml:space="preserve"> в соответствии с указом Президента Российской Федерации о некоторых вопросах совершенствования государственной наградной системы Российской Федерации.</w:t>
      </w:r>
    </w:p>
    <w:p w14:paraId="26000000">
      <w:pPr>
        <w:ind w:firstLine="709"/>
        <w:jc w:val="both"/>
      </w:pPr>
      <w:r>
        <w:t xml:space="preserve">Настоящий Федеральный закон устанавливает следующие меры социальной поддержки: на оказание медицинской помощи; лекарственное обеспечение; обеспечение санаторно-курортного лечения; льготы по оплате жилого помещения и коммунальных услуг; льготы при пользовании транспортными средствами и по оплате проезда; по коммунально-бытовому обслуживанию и торговому обслуживанию, льготы </w:t>
      </w:r>
      <w:r>
        <w:t>при пользовании средствами связи, посещении организаций культуры и физкультурно-спортивных организаций, а также л</w:t>
      </w:r>
      <w:r>
        <w:t xml:space="preserve">ьготы </w:t>
      </w:r>
      <w:r>
        <w:br/>
      </w:r>
      <w:r>
        <w:t xml:space="preserve">по профессиональному обучению и дополнительному профессиональному образованию, </w:t>
      </w:r>
      <w:r>
        <w:br/>
      </w:r>
      <w:r>
        <w:t>по предоставлению отпусков и иные меры социальной поддержки.</w:t>
      </w:r>
    </w:p>
    <w:p w14:paraId="27000000">
      <w:pPr>
        <w:ind w:firstLine="709"/>
        <w:jc w:val="both"/>
      </w:pPr>
      <w:r>
        <w:t>Вместе с тем, будет установлена ежемесячная денежная выплата в размере 72 403,79 рублей, подлежащая индексации единожды в год с 1 февраля текущего года в зависимости из индекса роста потребительских цен за предшествующий год.</w:t>
      </w:r>
    </w:p>
    <w:p w14:paraId="28000000">
      <w:pPr>
        <w:widowControl w:val="1"/>
        <w:ind/>
        <w:jc w:val="both"/>
      </w:pPr>
    </w:p>
    <w:p w14:paraId="29000000">
      <w:pPr>
        <w:widowControl w:val="1"/>
        <w:spacing w:after="0" w:before="168"/>
        <w:ind w:firstLine="540" w:left="0" w:right="0"/>
        <w:jc w:val="right"/>
        <w:rPr>
          <w:b w:val="0"/>
        </w:rPr>
      </w:pPr>
      <w:r>
        <w:rPr>
          <w:sz w:val="26"/>
        </w:rPr>
        <w:t>Прокуратура города разъясняет</w:t>
      </w:r>
      <w:r>
        <w:br/>
      </w:r>
    </w:p>
    <w:p w14:paraId="2A000000">
      <w:pPr>
        <w:widowControl w:val="1"/>
        <w:ind w:firstLine="0" w:left="709"/>
        <w:jc w:val="both"/>
        <w:rPr>
          <w:b w:val="0"/>
        </w:rPr>
      </w:pPr>
      <w:r>
        <w:br/>
      </w:r>
    </w:p>
    <w:p w14:paraId="2B000000">
      <w:pPr>
        <w:widowControl w:val="1"/>
        <w:ind/>
        <w:jc w:val="both"/>
        <w:rPr>
          <w:b w:val="0"/>
        </w:rPr>
      </w:pPr>
    </w:p>
    <w:sectPr>
      <w:headerReference r:id="rId1" w:type="default"/>
      <w:pgSz w:h="16834" w:orient="portrait" w:w="11909"/>
      <w:pgMar w:bottom="1021" w:footer="720" w:gutter="0" w:header="720" w:left="1418" w:right="567" w:top="1021"/>
      <w:titlePg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header1.xml><?xml version="1.0" encoding="utf-8"?>
<w:hdr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p w14:paraId="01000000">
    <w:pPr>
      <w:pStyle w:val="Style_1"/>
      <w:widowControl w:val="1"/>
      <w:ind/>
      <w:jc w:val="center"/>
    </w:pPr>
    <w:r>
      <w:fldChar w:fldCharType="begin"/>
    </w:r>
    <w:r>
      <w:instrText xml:space="preserve">PAGE </w:instrText>
    </w:r>
    <w:r>
      <w:fldChar w:fldCharType="separate"/>
    </w:r>
    <w:r>
      <w:t xml:space="preserve"> </w:t>
    </w:r>
    <w:r>
      <w:fldChar w:fldCharType="end"/>
    </w:r>
  </w:p>
  <w:p w14:paraId="02000000">
    <w:pPr>
      <w:pStyle w:val="Style_1"/>
    </w:pPr>
  </w:p>
</w:hdr>
</file>

<file path=word/settings.xml><?xml version="1.0" encoding="utf-8"?>
<w:setting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defaultTabStop w:val="708"/>
  <w:compat>
    <w:compatSetting w:name="compatibilityMode" w:uri="http://schemas.microsoft.com/office/word" w:val="15"/>
  </w:compat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docDefaults>
    <w:rPrDefault>
      <w:rPr>
        <w:rFonts w:ascii="Times New Roman" w:hAnsi="Times New Roman"/>
        <w:color w:val="000000"/>
        <w:spacing w:val="0"/>
        <w:sz w:val="20"/>
      </w:rPr>
    </w:rPrDefault>
    <w:pPrDefault>
      <w:pPr>
        <w:widowControl w:val="1"/>
        <w:spacing w:after="0" w:before="0" w:line="240" w:lineRule="auto"/>
        <w:ind w:firstLine="0" w:left="0" w:right="0"/>
        <w:jc w:val="left"/>
      </w:pPr>
    </w:pPrDefault>
  </w:docDefaults>
  <w:latentStyles w:count="25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End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Hyperlink" w:qFormat="0" w:semiHidden="0" w:unhideWhenUsed="0"/>
  </w:latentStyles>
  <w:style w:default="1" w:styleId="Style_2" w:type="paragraph">
    <w:name w:val="Normal"/>
    <w:link w:val="Style_2_ch"/>
    <w:uiPriority w:val="0"/>
    <w:qFormat/>
    <w:rPr>
      <w:sz w:val="24"/>
    </w:rPr>
  </w:style>
  <w:style w:default="1" w:styleId="Style_2_ch" w:type="character">
    <w:name w:val="Normal"/>
    <w:link w:val="Style_2"/>
    <w:rPr>
      <w:sz w:val="24"/>
    </w:rPr>
  </w:style>
  <w:style w:styleId="Style_3" w:type="paragraph">
    <w:name w:val="Default Paragraph Font"/>
    <w:link w:val="Style_3_ch"/>
  </w:style>
  <w:style w:styleId="Style_3_ch" w:type="character">
    <w:name w:val="Default Paragraph Font"/>
    <w:link w:val="Style_3"/>
  </w:style>
  <w:style w:styleId="Style_4" w:type="paragraph">
    <w:name w:val="toc 2"/>
    <w:next w:val="Style_2"/>
    <w:link w:val="Style_4_ch"/>
    <w:uiPriority w:val="39"/>
    <w:pPr>
      <w:widowControl w:val="1"/>
      <w:ind w:firstLine="0" w:left="200"/>
      <w:jc w:val="left"/>
    </w:pPr>
    <w:rPr>
      <w:rFonts w:ascii="XO Thames" w:hAnsi="XO Thames"/>
      <w:sz w:val="28"/>
    </w:rPr>
  </w:style>
  <w:style w:styleId="Style_4_ch" w:type="character">
    <w:name w:val="toc 2"/>
    <w:link w:val="Style_4"/>
    <w:rPr>
      <w:rFonts w:ascii="XO Thames" w:hAnsi="XO Thames"/>
      <w:sz w:val="28"/>
    </w:rPr>
  </w:style>
  <w:style w:styleId="Style_5" w:type="paragraph">
    <w:name w:val="toc 4"/>
    <w:next w:val="Style_2"/>
    <w:link w:val="Style_5_ch"/>
    <w:uiPriority w:val="39"/>
    <w:pPr>
      <w:widowControl w:val="1"/>
      <w:ind w:firstLine="0" w:left="600"/>
      <w:jc w:val="left"/>
    </w:pPr>
    <w:rPr>
      <w:rFonts w:ascii="XO Thames" w:hAnsi="XO Thames"/>
      <w:sz w:val="28"/>
    </w:rPr>
  </w:style>
  <w:style w:styleId="Style_5_ch" w:type="character">
    <w:name w:val="toc 4"/>
    <w:link w:val="Style_5"/>
    <w:rPr>
      <w:rFonts w:ascii="XO Thames" w:hAnsi="XO Thames"/>
      <w:sz w:val="28"/>
    </w:rPr>
  </w:style>
  <w:style w:styleId="Style_6" w:type="paragraph">
    <w:name w:val="toc 6"/>
    <w:next w:val="Style_2"/>
    <w:link w:val="Style_6_ch"/>
    <w:uiPriority w:val="39"/>
    <w:pPr>
      <w:widowControl w:val="1"/>
      <w:ind w:firstLine="0" w:left="1000"/>
      <w:jc w:val="left"/>
    </w:pPr>
    <w:rPr>
      <w:rFonts w:ascii="XO Thames" w:hAnsi="XO Thames"/>
      <w:sz w:val="28"/>
    </w:rPr>
  </w:style>
  <w:style w:styleId="Style_6_ch" w:type="character">
    <w:name w:val="toc 6"/>
    <w:link w:val="Style_6"/>
    <w:rPr>
      <w:rFonts w:ascii="XO Thames" w:hAnsi="XO Thames"/>
      <w:sz w:val="28"/>
    </w:rPr>
  </w:style>
  <w:style w:styleId="Style_7" w:type="paragraph">
    <w:name w:val="toc 7"/>
    <w:next w:val="Style_2"/>
    <w:link w:val="Style_7_ch"/>
    <w:uiPriority w:val="39"/>
    <w:pPr>
      <w:widowControl w:val="1"/>
      <w:ind w:firstLine="0" w:left="1200"/>
      <w:jc w:val="left"/>
    </w:pPr>
    <w:rPr>
      <w:rFonts w:ascii="XO Thames" w:hAnsi="XO Thames"/>
      <w:sz w:val="28"/>
    </w:rPr>
  </w:style>
  <w:style w:styleId="Style_7_ch" w:type="character">
    <w:name w:val="toc 7"/>
    <w:link w:val="Style_7"/>
    <w:rPr>
      <w:rFonts w:ascii="XO Thames" w:hAnsi="XO Thames"/>
      <w:sz w:val="28"/>
    </w:rPr>
  </w:style>
  <w:style w:styleId="Style_8" w:type="paragraph">
    <w:name w:val="Endnote"/>
    <w:link w:val="Style_8_ch"/>
    <w:pPr>
      <w:widowControl w:val="1"/>
      <w:ind w:firstLine="851" w:left="0"/>
      <w:jc w:val="both"/>
    </w:pPr>
    <w:rPr>
      <w:rFonts w:ascii="XO Thames" w:hAnsi="XO Thames"/>
      <w:sz w:val="22"/>
    </w:rPr>
  </w:style>
  <w:style w:styleId="Style_8_ch" w:type="character">
    <w:name w:val="Endnote"/>
    <w:link w:val="Style_8"/>
    <w:rPr>
      <w:rFonts w:ascii="XO Thames" w:hAnsi="XO Thames"/>
      <w:sz w:val="22"/>
    </w:rPr>
  </w:style>
  <w:style w:styleId="Style_9" w:type="paragraph">
    <w:name w:val="heading 3"/>
    <w:next w:val="Style_2"/>
    <w:link w:val="Style_9_ch"/>
    <w:uiPriority w:val="9"/>
    <w:qFormat/>
    <w:pPr>
      <w:widowControl w:val="1"/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9_ch" w:type="character">
    <w:name w:val="heading 3"/>
    <w:link w:val="Style_9"/>
    <w:rPr>
      <w:rFonts w:ascii="XO Thames" w:hAnsi="XO Thames"/>
      <w:b w:val="1"/>
      <w:sz w:val="26"/>
    </w:rPr>
  </w:style>
  <w:style w:styleId="Style_10" w:type="paragraph">
    <w:name w:val="Balloon Text"/>
    <w:basedOn w:val="Style_2"/>
    <w:link w:val="Style_10_ch"/>
    <w:rPr>
      <w:rFonts w:ascii="Tahoma" w:hAnsi="Tahoma"/>
      <w:sz w:val="16"/>
    </w:rPr>
  </w:style>
  <w:style w:styleId="Style_10_ch" w:type="character">
    <w:name w:val="Balloon Text"/>
    <w:basedOn w:val="Style_2_ch"/>
    <w:link w:val="Style_10"/>
    <w:rPr>
      <w:rFonts w:ascii="Tahoma" w:hAnsi="Tahoma"/>
      <w:sz w:val="16"/>
    </w:rPr>
  </w:style>
  <w:style w:styleId="Style_11" w:type="paragraph">
    <w:name w:val="toc 3"/>
    <w:next w:val="Style_2"/>
    <w:link w:val="Style_11_ch"/>
    <w:uiPriority w:val="39"/>
    <w:pPr>
      <w:widowControl w:val="1"/>
      <w:ind w:firstLine="0" w:left="400"/>
      <w:jc w:val="left"/>
    </w:pPr>
    <w:rPr>
      <w:rFonts w:ascii="XO Thames" w:hAnsi="XO Thames"/>
      <w:sz w:val="28"/>
    </w:rPr>
  </w:style>
  <w:style w:styleId="Style_11_ch" w:type="character">
    <w:name w:val="toc 3"/>
    <w:link w:val="Style_11"/>
    <w:rPr>
      <w:rFonts w:ascii="XO Thames" w:hAnsi="XO Thames"/>
      <w:sz w:val="28"/>
    </w:rPr>
  </w:style>
  <w:style w:styleId="Style_12" w:type="paragraph">
    <w:name w:val="heading 5"/>
    <w:next w:val="Style_2"/>
    <w:link w:val="Style_12_ch"/>
    <w:uiPriority w:val="9"/>
    <w:qFormat/>
    <w:pPr>
      <w:widowControl w:val="1"/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12_ch" w:type="character">
    <w:name w:val="heading 5"/>
    <w:link w:val="Style_12"/>
    <w:rPr>
      <w:rFonts w:ascii="XO Thames" w:hAnsi="XO Thames"/>
      <w:b w:val="1"/>
      <w:sz w:val="22"/>
    </w:rPr>
  </w:style>
  <w:style w:styleId="Style_13" w:type="paragraph">
    <w:name w:val="heading 1"/>
    <w:basedOn w:val="Style_2"/>
    <w:next w:val="Style_2"/>
    <w:link w:val="Style_13_ch"/>
    <w:uiPriority w:val="9"/>
    <w:qFormat/>
    <w:pPr>
      <w:keepNext w:val="1"/>
      <w:widowControl w:val="1"/>
      <w:ind/>
      <w:outlineLvl w:val="0"/>
    </w:pPr>
    <w:rPr>
      <w:sz w:val="28"/>
    </w:rPr>
  </w:style>
  <w:style w:styleId="Style_13_ch" w:type="character">
    <w:name w:val="heading 1"/>
    <w:basedOn w:val="Style_2_ch"/>
    <w:link w:val="Style_13"/>
    <w:rPr>
      <w:sz w:val="28"/>
    </w:rPr>
  </w:style>
  <w:style w:styleId="Style_14" w:type="paragraph">
    <w:name w:val="Hyperlink"/>
    <w:link w:val="Style_14_ch"/>
    <w:rPr>
      <w:color w:val="0000FF"/>
      <w:u w:val="single"/>
    </w:rPr>
  </w:style>
  <w:style w:styleId="Style_14_ch" w:type="character">
    <w:name w:val="Hyperlink"/>
    <w:link w:val="Style_14"/>
    <w:rPr>
      <w:color w:val="0000FF"/>
      <w:u w:val="single"/>
    </w:rPr>
  </w:style>
  <w:style w:styleId="Style_15" w:type="paragraph">
    <w:name w:val="Footnote"/>
    <w:link w:val="Style_15_ch"/>
    <w:pPr>
      <w:widowControl w:val="1"/>
      <w:ind w:firstLine="851" w:left="0"/>
      <w:jc w:val="both"/>
    </w:pPr>
    <w:rPr>
      <w:rFonts w:ascii="XO Thames" w:hAnsi="XO Thames"/>
      <w:sz w:val="22"/>
    </w:rPr>
  </w:style>
  <w:style w:styleId="Style_15_ch" w:type="character">
    <w:name w:val="Footnote"/>
    <w:link w:val="Style_15"/>
    <w:rPr>
      <w:rFonts w:ascii="XO Thames" w:hAnsi="XO Thames"/>
      <w:sz w:val="22"/>
    </w:rPr>
  </w:style>
  <w:style w:styleId="Style_16" w:type="paragraph">
    <w:name w:val="toc 1"/>
    <w:next w:val="Style_2"/>
    <w:link w:val="Style_16_ch"/>
    <w:uiPriority w:val="39"/>
    <w:pPr>
      <w:widowControl w:val="1"/>
      <w:ind w:firstLine="0" w:left="0"/>
      <w:jc w:val="left"/>
    </w:pPr>
    <w:rPr>
      <w:rFonts w:ascii="XO Thames" w:hAnsi="XO Thames"/>
      <w:b w:val="1"/>
      <w:sz w:val="28"/>
    </w:rPr>
  </w:style>
  <w:style w:styleId="Style_16_ch" w:type="character">
    <w:name w:val="toc 1"/>
    <w:link w:val="Style_16"/>
    <w:rPr>
      <w:rFonts w:ascii="XO Thames" w:hAnsi="XO Thames"/>
      <w:b w:val="1"/>
      <w:sz w:val="28"/>
    </w:rPr>
  </w:style>
  <w:style w:styleId="Style_17" w:type="paragraph">
    <w:name w:val="List Paragraph"/>
    <w:basedOn w:val="Style_2"/>
    <w:link w:val="Style_17_ch"/>
    <w:pPr>
      <w:widowControl w:val="1"/>
      <w:spacing w:after="160" w:line="259" w:lineRule="auto"/>
      <w:ind w:left="720"/>
      <w:contextualSpacing w:val="1"/>
    </w:pPr>
    <w:rPr>
      <w:rFonts w:ascii="Calibri" w:hAnsi="Calibri"/>
      <w:sz w:val="22"/>
    </w:rPr>
  </w:style>
  <w:style w:styleId="Style_17_ch" w:type="character">
    <w:name w:val="List Paragraph"/>
    <w:basedOn w:val="Style_2_ch"/>
    <w:link w:val="Style_17"/>
    <w:rPr>
      <w:rFonts w:ascii="Calibri" w:hAnsi="Calibri"/>
      <w:sz w:val="22"/>
    </w:rPr>
  </w:style>
  <w:style w:styleId="Style_18" w:type="paragraph">
    <w:name w:val="ConsPlusNonformat"/>
    <w:link w:val="Style_18_ch"/>
    <w:rPr>
      <w:rFonts w:ascii="Courier New" w:hAnsi="Courier New"/>
    </w:rPr>
  </w:style>
  <w:style w:styleId="Style_18_ch" w:type="character">
    <w:name w:val="ConsPlusNonformat"/>
    <w:link w:val="Style_18"/>
    <w:rPr>
      <w:rFonts w:ascii="Courier New" w:hAnsi="Courier New"/>
    </w:rPr>
  </w:style>
  <w:style w:styleId="Style_19" w:type="paragraph">
    <w:name w:val="Header and Footer"/>
    <w:link w:val="Style_19_ch"/>
    <w:pPr>
      <w:widowControl w:val="1"/>
      <w:spacing w:line="240" w:lineRule="auto"/>
      <w:ind/>
      <w:jc w:val="both"/>
    </w:pPr>
    <w:rPr>
      <w:rFonts w:ascii="XO Thames" w:hAnsi="XO Thames"/>
      <w:sz w:val="28"/>
    </w:rPr>
  </w:style>
  <w:style w:styleId="Style_19_ch" w:type="character">
    <w:name w:val="Header and Footer"/>
    <w:link w:val="Style_19"/>
    <w:rPr>
      <w:rFonts w:ascii="XO Thames" w:hAnsi="XO Thames"/>
      <w:sz w:val="28"/>
    </w:rPr>
  </w:style>
  <w:style w:styleId="Style_20" w:type="paragraph">
    <w:name w:val="toc 9"/>
    <w:next w:val="Style_2"/>
    <w:link w:val="Style_20_ch"/>
    <w:uiPriority w:val="39"/>
    <w:pPr>
      <w:widowControl w:val="1"/>
      <w:ind w:firstLine="0" w:left="1600"/>
      <w:jc w:val="left"/>
    </w:pPr>
    <w:rPr>
      <w:rFonts w:ascii="XO Thames" w:hAnsi="XO Thames"/>
      <w:sz w:val="28"/>
    </w:rPr>
  </w:style>
  <w:style w:styleId="Style_20_ch" w:type="character">
    <w:name w:val="toc 9"/>
    <w:link w:val="Style_20"/>
    <w:rPr>
      <w:rFonts w:ascii="XO Thames" w:hAnsi="XO Thames"/>
      <w:sz w:val="28"/>
    </w:rPr>
  </w:style>
  <w:style w:styleId="Style_21" w:type="paragraph">
    <w:name w:val="toc 8"/>
    <w:next w:val="Style_2"/>
    <w:link w:val="Style_21_ch"/>
    <w:uiPriority w:val="39"/>
    <w:pPr>
      <w:widowControl w:val="1"/>
      <w:ind w:firstLine="0" w:left="1400"/>
      <w:jc w:val="left"/>
    </w:pPr>
    <w:rPr>
      <w:rFonts w:ascii="XO Thames" w:hAnsi="XO Thames"/>
      <w:sz w:val="28"/>
    </w:rPr>
  </w:style>
  <w:style w:styleId="Style_21_ch" w:type="character">
    <w:name w:val="toc 8"/>
    <w:link w:val="Style_21"/>
    <w:rPr>
      <w:rFonts w:ascii="XO Thames" w:hAnsi="XO Thames"/>
      <w:sz w:val="28"/>
    </w:rPr>
  </w:style>
  <w:style w:styleId="Style_22" w:type="paragraph">
    <w:name w:val="footer"/>
    <w:basedOn w:val="Style_2"/>
    <w:link w:val="Style_22_ch"/>
    <w:pPr>
      <w:widowControl w:val="1"/>
      <w:tabs>
        <w:tab w:leader="none" w:pos="4677" w:val="center"/>
        <w:tab w:leader="none" w:pos="9355" w:val="right"/>
      </w:tabs>
      <w:ind/>
    </w:pPr>
  </w:style>
  <w:style w:styleId="Style_22_ch" w:type="character">
    <w:name w:val="footer"/>
    <w:basedOn w:val="Style_2_ch"/>
    <w:link w:val="Style_22"/>
  </w:style>
  <w:style w:styleId="Style_23" w:type="paragraph">
    <w:name w:val="Body Text"/>
    <w:basedOn w:val="Style_2"/>
    <w:link w:val="Style_23_ch"/>
    <w:pPr>
      <w:widowControl w:val="1"/>
      <w:ind/>
      <w:jc w:val="both"/>
    </w:pPr>
    <w:rPr>
      <w:sz w:val="28"/>
    </w:rPr>
  </w:style>
  <w:style w:styleId="Style_23_ch" w:type="character">
    <w:name w:val="Body Text"/>
    <w:basedOn w:val="Style_2_ch"/>
    <w:link w:val="Style_23"/>
    <w:rPr>
      <w:sz w:val="28"/>
    </w:rPr>
  </w:style>
  <w:style w:styleId="Style_1" w:type="paragraph">
    <w:name w:val="header"/>
    <w:basedOn w:val="Style_2"/>
    <w:link w:val="Style_1_ch"/>
    <w:pPr>
      <w:widowControl w:val="1"/>
      <w:tabs>
        <w:tab w:leader="none" w:pos="4677" w:val="center"/>
        <w:tab w:leader="none" w:pos="9355" w:val="right"/>
      </w:tabs>
      <w:ind/>
    </w:pPr>
  </w:style>
  <w:style w:styleId="Style_1_ch" w:type="character">
    <w:name w:val="header"/>
    <w:basedOn w:val="Style_2_ch"/>
    <w:link w:val="Style_1"/>
  </w:style>
  <w:style w:styleId="Style_24" w:type="paragraph">
    <w:name w:val="toc 5"/>
    <w:next w:val="Style_2"/>
    <w:link w:val="Style_24_ch"/>
    <w:uiPriority w:val="39"/>
    <w:pPr>
      <w:widowControl w:val="1"/>
      <w:ind w:firstLine="0" w:left="800"/>
      <w:jc w:val="left"/>
    </w:pPr>
    <w:rPr>
      <w:rFonts w:ascii="XO Thames" w:hAnsi="XO Thames"/>
      <w:sz w:val="28"/>
    </w:rPr>
  </w:style>
  <w:style w:styleId="Style_24_ch" w:type="character">
    <w:name w:val="toc 5"/>
    <w:link w:val="Style_24"/>
    <w:rPr>
      <w:rFonts w:ascii="XO Thames" w:hAnsi="XO Thames"/>
      <w:sz w:val="28"/>
    </w:rPr>
  </w:style>
  <w:style w:styleId="Style_25" w:type="paragraph">
    <w:name w:val="Subtitle"/>
    <w:next w:val="Style_2"/>
    <w:link w:val="Style_25_ch"/>
    <w:uiPriority w:val="11"/>
    <w:qFormat/>
    <w:pPr>
      <w:widowControl w:val="1"/>
      <w:ind/>
      <w:jc w:val="both"/>
    </w:pPr>
    <w:rPr>
      <w:rFonts w:ascii="XO Thames" w:hAnsi="XO Thames"/>
      <w:i w:val="1"/>
      <w:sz w:val="24"/>
    </w:rPr>
  </w:style>
  <w:style w:styleId="Style_25_ch" w:type="character">
    <w:name w:val="Subtitle"/>
    <w:link w:val="Style_25"/>
    <w:rPr>
      <w:rFonts w:ascii="XO Thames" w:hAnsi="XO Thames"/>
      <w:i w:val="1"/>
      <w:sz w:val="24"/>
    </w:rPr>
  </w:style>
  <w:style w:styleId="Style_26" w:type="paragraph">
    <w:name w:val="ConsNonformat"/>
    <w:link w:val="Style_26_ch"/>
    <w:pPr>
      <w:widowControl w:val="0"/>
      <w:ind/>
    </w:pPr>
    <w:rPr>
      <w:rFonts w:ascii="Courier New" w:hAnsi="Courier New"/>
    </w:rPr>
  </w:style>
  <w:style w:styleId="Style_26_ch" w:type="character">
    <w:name w:val="ConsNonformat"/>
    <w:link w:val="Style_26"/>
    <w:rPr>
      <w:rFonts w:ascii="Courier New" w:hAnsi="Courier New"/>
    </w:rPr>
  </w:style>
  <w:style w:styleId="Style_27" w:type="paragraph">
    <w:name w:val="Title"/>
    <w:next w:val="Style_2"/>
    <w:link w:val="Style_27_ch"/>
    <w:uiPriority w:val="10"/>
    <w:qFormat/>
    <w:pPr>
      <w:widowControl w:val="1"/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27_ch" w:type="character">
    <w:name w:val="Title"/>
    <w:link w:val="Style_27"/>
    <w:rPr>
      <w:rFonts w:ascii="XO Thames" w:hAnsi="XO Thames"/>
      <w:b w:val="1"/>
      <w:caps w:val="1"/>
      <w:sz w:val="40"/>
    </w:rPr>
  </w:style>
  <w:style w:styleId="Style_28" w:type="paragraph">
    <w:name w:val="heading 4"/>
    <w:next w:val="Style_2"/>
    <w:link w:val="Style_28_ch"/>
    <w:uiPriority w:val="9"/>
    <w:qFormat/>
    <w:pPr>
      <w:widowControl w:val="1"/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8_ch" w:type="character">
    <w:name w:val="heading 4"/>
    <w:link w:val="Style_28"/>
    <w:rPr>
      <w:rFonts w:ascii="XO Thames" w:hAnsi="XO Thames"/>
      <w:b w:val="1"/>
      <w:sz w:val="24"/>
    </w:rPr>
  </w:style>
  <w:style w:styleId="Style_29" w:type="paragraph">
    <w:name w:val="heading 2"/>
    <w:basedOn w:val="Style_2"/>
    <w:next w:val="Style_2"/>
    <w:link w:val="Style_29_ch"/>
    <w:uiPriority w:val="9"/>
    <w:qFormat/>
    <w:pPr>
      <w:keepNext w:val="1"/>
      <w:widowControl w:val="1"/>
      <w:ind w:left="4248"/>
      <w:jc w:val="right"/>
      <w:outlineLvl w:val="1"/>
    </w:pPr>
    <w:rPr>
      <w:sz w:val="28"/>
    </w:rPr>
  </w:style>
  <w:style w:styleId="Style_29_ch" w:type="character">
    <w:name w:val="heading 2"/>
    <w:basedOn w:val="Style_2_ch"/>
    <w:link w:val="Style_29"/>
    <w:rPr>
      <w:sz w:val="28"/>
    </w:rPr>
  </w:style>
  <w:style w:styleId="Style_30" w:type="table">
    <w:name w:val="Table Grid"/>
    <w:basedOn w:val="Style_31"/>
    <w:rPr>
      <w:rFonts w:ascii="Calibri" w:hAnsi="Calibri"/>
      <w:sz w:val="22"/>
    </w:rPr>
    <w:tblPr>
      <w:tblBorders>
        <w:top w:color="000000" w:sz="4" w:val="single"/>
        <w:left w:color="000000" w:sz="4" w:val="single"/>
        <w:bottom w:color="000000" w:sz="4" w:val="single"/>
        <w:right w:color="000000" w:sz="4" w:val="single"/>
        <w:insideH w:color="000000" w:sz="4" w:val="single"/>
        <w:insideV w:color="000000" w:sz="4" w:val="single"/>
      </w:tblBorders>
    </w:tblPr>
  </w:style>
  <w:style w:default="1" w:styleId="Style_31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6" Target="webSettings.xml" Type="http://schemas.openxmlformats.org/officeDocument/2006/relationships/webSettings"/>
  <Relationship Id="rId1" Target="header1.xml" Type="http://schemas.openxmlformats.org/officeDocument/2006/relationships/header"/>
  <Relationship Id="rId2" Target="fontTable.xml" Type="http://schemas.openxmlformats.org/officeDocument/2006/relationships/fontTable"/>
  <Relationship Id="rId3" Target="settings.xml" Type="http://schemas.openxmlformats.org/officeDocument/2006/relationships/settings"/>
  <Relationship Id="rId4" Target="styles.xml" Type="http://schemas.openxmlformats.org/officeDocument/2006/relationships/styles"/>
  <Relationship Id="rId7" Target="theme/theme1.xml" Type="http://schemas.openxmlformats.org/officeDocument/2006/relationships/theme"/>
  <Relationship Id="rId5" Target="stylesWithEffects.xml" Type="http://schemas.microsoft.com/office/2007/relationships/stylesWithEffects"/>
</Relationships>

</file>

<file path=word/theme/theme1.xml><?xml version="1.0" encoding="utf-8"?>
<a:theme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MyOffice-CoreFramework-Linux/38-1384.1107.10199.1019.1@18975027e3ee4b688e27426d4a78178cb841a344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2025-12-23T17:47:06Z</dcterms:created>
  <dcterms:modified xsi:type="dcterms:W3CDTF">2025-12-23T17:47:06Z</dcterms:modified>
</cp:coreProperties>
</file>